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F917" w14:textId="77777777" w:rsidR="008F7FAD" w:rsidRPr="00B73F28" w:rsidRDefault="008F7FAD" w:rsidP="008F7FAD">
      <w:pPr>
        <w:spacing w:after="60"/>
        <w:ind w:left="720"/>
        <w:jc w:val="right"/>
        <w:rPr>
          <w:i/>
        </w:rPr>
      </w:pPr>
      <w:r>
        <w:rPr>
          <w:i/>
        </w:rPr>
        <w:t>Modulo richiesta assegno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822"/>
        <w:gridCol w:w="4978"/>
        <w:gridCol w:w="1507"/>
      </w:tblGrid>
      <w:tr w:rsidR="008F7FAD" w:rsidRPr="00F70053" w14:paraId="4B257B52" w14:textId="77777777" w:rsidTr="009229F2">
        <w:tc>
          <w:tcPr>
            <w:tcW w:w="2321" w:type="dxa"/>
            <w:shd w:val="clear" w:color="auto" w:fill="auto"/>
            <w:vAlign w:val="center"/>
          </w:tcPr>
          <w:p w14:paraId="1E24CEAF" w14:textId="77777777" w:rsidR="008F7FAD" w:rsidRPr="00F70053" w:rsidRDefault="008F7FAD" w:rsidP="00945AFC">
            <w:pPr>
              <w:spacing w:before="60" w:after="60"/>
              <w:jc w:val="both"/>
              <w:rPr>
                <w:b/>
                <w:sz w:val="28"/>
                <w:szCs w:val="28"/>
              </w:rPr>
            </w:pPr>
            <w:r>
              <w:br w:type="page"/>
            </w:r>
            <w:r w:rsidRPr="00F70053">
              <w:rPr>
                <w:b/>
                <w:sz w:val="28"/>
                <w:szCs w:val="28"/>
              </w:rPr>
              <w:br w:type="page"/>
            </w:r>
            <w:r w:rsidRPr="00F70053">
              <w:rPr>
                <w:b/>
                <w:sz w:val="28"/>
                <w:szCs w:val="28"/>
              </w:rPr>
              <w:br w:type="page"/>
            </w:r>
            <w:r w:rsidRPr="00F70053">
              <w:rPr>
                <w:b/>
                <w:sz w:val="28"/>
                <w:szCs w:val="28"/>
              </w:rPr>
              <w:br w:type="page"/>
              <w:t>TUTOR</w:t>
            </w:r>
          </w:p>
        </w:tc>
        <w:tc>
          <w:tcPr>
            <w:tcW w:w="7307" w:type="dxa"/>
            <w:gridSpan w:val="3"/>
            <w:shd w:val="clear" w:color="auto" w:fill="auto"/>
            <w:vAlign w:val="center"/>
          </w:tcPr>
          <w:p w14:paraId="0519D5A3" w14:textId="14D59A8D" w:rsidR="008F7FAD" w:rsidRPr="00F70053" w:rsidRDefault="009229F2" w:rsidP="00945AFC">
            <w:pPr>
              <w:spacing w:before="60" w:after="60"/>
              <w:jc w:val="both"/>
              <w:rPr>
                <w:b/>
                <w:sz w:val="28"/>
                <w:szCs w:val="28"/>
              </w:rPr>
            </w:pPr>
            <w:r>
              <w:rPr>
                <w:b/>
                <w:color w:val="FF0000"/>
                <w:sz w:val="28"/>
                <w:szCs w:val="28"/>
              </w:rPr>
              <w:t>Paolo Boffetta</w:t>
            </w:r>
          </w:p>
        </w:tc>
      </w:tr>
      <w:tr w:rsidR="008F7FAD" w:rsidRPr="00F70053" w14:paraId="0459E4D7" w14:textId="77777777" w:rsidTr="009229F2">
        <w:tc>
          <w:tcPr>
            <w:tcW w:w="2321" w:type="dxa"/>
            <w:shd w:val="clear" w:color="auto" w:fill="auto"/>
            <w:vAlign w:val="center"/>
          </w:tcPr>
          <w:p w14:paraId="77F8DFF6" w14:textId="77777777" w:rsidR="008F7FAD" w:rsidRDefault="008F7FAD" w:rsidP="00945AFC">
            <w:pPr>
              <w:spacing w:before="60" w:after="60"/>
              <w:jc w:val="both"/>
            </w:pPr>
            <w:r>
              <w:t>Fascia VRA</w:t>
            </w:r>
          </w:p>
        </w:tc>
        <w:tc>
          <w:tcPr>
            <w:tcW w:w="5800" w:type="dxa"/>
            <w:gridSpan w:val="2"/>
            <w:shd w:val="clear" w:color="auto" w:fill="auto"/>
            <w:vAlign w:val="center"/>
          </w:tcPr>
          <w:p w14:paraId="21B4E524" w14:textId="77777777" w:rsidR="008F7FAD" w:rsidRPr="00FE6CF6" w:rsidRDefault="008F7FAD" w:rsidP="00945AFC">
            <w:pPr>
              <w:spacing w:before="60" w:after="60"/>
              <w:jc w:val="both"/>
              <w:rPr>
                <w:b/>
                <w:sz w:val="14"/>
                <w:szCs w:val="28"/>
                <w:u w:val="single"/>
              </w:rPr>
            </w:pPr>
            <w:r w:rsidRPr="008F7FAD">
              <w:rPr>
                <w:b/>
                <w:color w:val="548DD4"/>
                <w:sz w:val="14"/>
                <w:szCs w:val="28"/>
                <w:u w:val="single"/>
              </w:rPr>
              <w:t>(compilazione a cura della Giunta)</w:t>
            </w:r>
          </w:p>
        </w:tc>
        <w:tc>
          <w:tcPr>
            <w:tcW w:w="1507" w:type="dxa"/>
            <w:shd w:val="pct10" w:color="FFFF00" w:fill="auto"/>
            <w:vAlign w:val="center"/>
          </w:tcPr>
          <w:p w14:paraId="33C76AD3" w14:textId="77777777" w:rsidR="008F7FAD" w:rsidRPr="00E71E71" w:rsidRDefault="008F7FAD" w:rsidP="00945AFC">
            <w:pPr>
              <w:spacing w:before="60" w:after="60"/>
              <w:jc w:val="both"/>
              <w:rPr>
                <w:i/>
              </w:rPr>
            </w:pPr>
            <w:r w:rsidRPr="00E71E71">
              <w:rPr>
                <w:i/>
              </w:rPr>
              <w:t>Punti</w:t>
            </w:r>
            <w:r>
              <w:rPr>
                <w:i/>
              </w:rPr>
              <w:t xml:space="preserve"> </w:t>
            </w:r>
          </w:p>
        </w:tc>
      </w:tr>
      <w:tr w:rsidR="008F7FAD" w:rsidRPr="00F70053" w14:paraId="5C550576" w14:textId="77777777" w:rsidTr="009229F2">
        <w:tc>
          <w:tcPr>
            <w:tcW w:w="8121" w:type="dxa"/>
            <w:gridSpan w:val="3"/>
            <w:shd w:val="clear" w:color="auto" w:fill="auto"/>
            <w:vAlign w:val="center"/>
          </w:tcPr>
          <w:p w14:paraId="07ACCAD3" w14:textId="77777777" w:rsidR="008F7FAD" w:rsidRPr="002E1FF5" w:rsidRDefault="008F7FAD" w:rsidP="00945AFC">
            <w:pPr>
              <w:spacing w:before="60" w:after="60"/>
              <w:jc w:val="both"/>
              <w:rPr>
                <w:b/>
                <w:sz w:val="28"/>
                <w:szCs w:val="28"/>
              </w:rPr>
            </w:pPr>
            <w:r w:rsidRPr="002E1FF5">
              <w:rPr>
                <w:b/>
                <w:sz w:val="28"/>
                <w:szCs w:val="28"/>
              </w:rPr>
              <w:t xml:space="preserve">PRODUZIONE SCIENTIFICA ASSEGNISTI </w:t>
            </w:r>
            <w:r w:rsidRPr="0083559D">
              <w:rPr>
                <w:b/>
                <w:sz w:val="28"/>
                <w:szCs w:val="28"/>
                <w:u w:val="single"/>
              </w:rPr>
              <w:t>NELL’ULTIMO QUADRIENNIO</w:t>
            </w:r>
          </w:p>
        </w:tc>
        <w:tc>
          <w:tcPr>
            <w:tcW w:w="1507" w:type="dxa"/>
            <w:shd w:val="pct10" w:color="FFFF00" w:fill="auto"/>
            <w:vAlign w:val="center"/>
          </w:tcPr>
          <w:p w14:paraId="0AEDB568" w14:textId="77777777" w:rsidR="008F7FAD" w:rsidRPr="002E1FF5" w:rsidRDefault="008F7FAD" w:rsidP="00945AFC">
            <w:pPr>
              <w:spacing w:before="60" w:after="60"/>
              <w:jc w:val="both"/>
              <w:rPr>
                <w:b/>
                <w:sz w:val="28"/>
                <w:szCs w:val="28"/>
              </w:rPr>
            </w:pPr>
            <w:r w:rsidRPr="00D52083">
              <w:rPr>
                <w:i/>
              </w:rPr>
              <w:t>Punti</w:t>
            </w:r>
          </w:p>
        </w:tc>
      </w:tr>
      <w:tr w:rsidR="008F7FAD" w:rsidRPr="00F70053" w14:paraId="4D2BF1E9" w14:textId="77777777" w:rsidTr="009229F2">
        <w:tc>
          <w:tcPr>
            <w:tcW w:w="3143" w:type="dxa"/>
            <w:gridSpan w:val="2"/>
            <w:shd w:val="clear" w:color="auto" w:fill="auto"/>
            <w:vAlign w:val="center"/>
          </w:tcPr>
          <w:p w14:paraId="44BF5FED" w14:textId="77777777" w:rsidR="008F7FAD" w:rsidRPr="0021533C" w:rsidRDefault="008F7FAD" w:rsidP="00945AFC">
            <w:pPr>
              <w:spacing w:before="60" w:after="60"/>
              <w:jc w:val="both"/>
              <w:rPr>
                <w:sz w:val="28"/>
                <w:szCs w:val="28"/>
              </w:rPr>
            </w:pPr>
            <w:r>
              <w:rPr>
                <w:sz w:val="28"/>
                <w:szCs w:val="28"/>
              </w:rPr>
              <w:t>Nome e n° mesi assegnista 1</w:t>
            </w:r>
          </w:p>
        </w:tc>
        <w:tc>
          <w:tcPr>
            <w:tcW w:w="6485" w:type="dxa"/>
            <w:gridSpan w:val="2"/>
            <w:shd w:val="clear" w:color="auto" w:fill="auto"/>
            <w:vAlign w:val="center"/>
          </w:tcPr>
          <w:p w14:paraId="7CCFDBB0" w14:textId="30ED8E7A" w:rsidR="008F7FAD" w:rsidRPr="0021533C" w:rsidRDefault="009229F2" w:rsidP="00945AFC">
            <w:pPr>
              <w:spacing w:before="60" w:after="60"/>
              <w:jc w:val="both"/>
              <w:rPr>
                <w:sz w:val="28"/>
                <w:szCs w:val="28"/>
              </w:rPr>
            </w:pPr>
            <w:r>
              <w:rPr>
                <w:sz w:val="28"/>
                <w:szCs w:val="28"/>
              </w:rPr>
              <w:t>Mahsa Abedini - 18 mesi</w:t>
            </w:r>
          </w:p>
        </w:tc>
      </w:tr>
      <w:tr w:rsidR="001F4BC9" w:rsidRPr="00F70053" w14:paraId="6F909ECE" w14:textId="77777777" w:rsidTr="009229F2">
        <w:trPr>
          <w:trHeight w:val="594"/>
        </w:trPr>
        <w:tc>
          <w:tcPr>
            <w:tcW w:w="3143" w:type="dxa"/>
            <w:gridSpan w:val="2"/>
            <w:vMerge w:val="restart"/>
            <w:shd w:val="clear" w:color="auto" w:fill="auto"/>
            <w:vAlign w:val="center"/>
          </w:tcPr>
          <w:p w14:paraId="29EC64F7" w14:textId="77777777" w:rsidR="001F4BC9" w:rsidRPr="0021533C" w:rsidRDefault="001F4BC9" w:rsidP="00945AFC">
            <w:pPr>
              <w:spacing w:before="60" w:after="60"/>
              <w:jc w:val="both"/>
              <w:rPr>
                <w:sz w:val="28"/>
                <w:szCs w:val="28"/>
              </w:rPr>
            </w:pPr>
            <w:r w:rsidRPr="0083559D">
              <w:rPr>
                <w:b/>
                <w:sz w:val="28"/>
                <w:szCs w:val="28"/>
              </w:rPr>
              <w:t>Max. 4</w:t>
            </w:r>
            <w:r>
              <w:rPr>
                <w:sz w:val="28"/>
                <w:szCs w:val="28"/>
              </w:rPr>
              <w:t xml:space="preserve"> lavori in extenso su riviste indicizzate PubMed</w:t>
            </w:r>
          </w:p>
        </w:tc>
        <w:tc>
          <w:tcPr>
            <w:tcW w:w="6485" w:type="dxa"/>
            <w:gridSpan w:val="2"/>
            <w:shd w:val="clear" w:color="auto" w:fill="auto"/>
            <w:vAlign w:val="center"/>
          </w:tcPr>
          <w:p w14:paraId="6CEA3217" w14:textId="2C96E0CF" w:rsidR="001F4BC9" w:rsidRPr="009229F2" w:rsidRDefault="009229F2" w:rsidP="00945AFC">
            <w:pPr>
              <w:spacing w:before="60" w:after="60"/>
              <w:jc w:val="both"/>
              <w:rPr>
                <w:sz w:val="28"/>
                <w:szCs w:val="28"/>
              </w:rPr>
            </w:pPr>
            <w:r w:rsidRPr="009229F2">
              <w:rPr>
                <w:color w:val="212121"/>
                <w:shd w:val="clear" w:color="auto" w:fill="FFFFFF"/>
              </w:rPr>
              <w:t xml:space="preserve">Porru S, Monaco MGL, Spiteri G, Carta A, Pezzani MD, Lippi G, Gibellini D, Tacconelli E, Dalla Vecchia I, Sala E, Sansone E, De Palma G, Bonfanti C, Lombardo M, Terlenghi L, Pira E, Mansour I, Coggiola M, Ciocan C, Godono A, Tardon A, Rodriguez-Suarez MM, Fernandez-Tardon G, Jimeno-Demuth FJ, Castro-Delgado RV, Iglesias Cabo T, Scapellato ML, Liviero F, Moretto A, Mason P, Pavanello S, Volpin A, Vimercati L, Tafuri S, De Maria L, Sponselli S, Stefanizzi P, Caputi A, Gobba F, Modenese A, Casolari L, Garavini D, D'Elia C, Mariani S, Filon FL, Cegolon L, Negro C, Ronchese F, Rui F, De Michieli P, Murgia N, Dell'Omo M, Muzi G, Fiordi T, Gambelunghe A, Folletti I, Mates D, Calota VC, Neamtu A, Perseca O, Staicu CA, Voinoiu A, Fabiánová E, Bérešová J, Adamčáková ZK, Nedela R, Lesňáková A, Holčíková J, Boffetta P, </w:t>
            </w:r>
            <w:r w:rsidRPr="00153573">
              <w:rPr>
                <w:b/>
                <w:bCs/>
                <w:color w:val="212121"/>
                <w:shd w:val="clear" w:color="auto" w:fill="FFFFFF"/>
              </w:rPr>
              <w:t>Abedini M</w:t>
            </w:r>
            <w:r w:rsidRPr="009229F2">
              <w:rPr>
                <w:color w:val="212121"/>
                <w:shd w:val="clear" w:color="auto" w:fill="FFFFFF"/>
              </w:rPr>
              <w:t>, Ditano G, Asafo SS, Visci G, Violante FS, Zunarelli C, Verlato G. SARS-CoV-2 Breakthrough Infections: Incidence and Risk Factors in a Large European Multicentric Cohort of Health Workers. Vaccines (Basel). 2022 Jul 27;10(8):1193. doi: 10.3390/vaccines10081193. PMID: 36016081; PMCID: PMC9415790.</w:t>
            </w:r>
          </w:p>
        </w:tc>
      </w:tr>
      <w:tr w:rsidR="001F4BC9" w:rsidRPr="00F70053" w14:paraId="0D67B23E" w14:textId="77777777" w:rsidTr="009229F2">
        <w:trPr>
          <w:trHeight w:val="592"/>
        </w:trPr>
        <w:tc>
          <w:tcPr>
            <w:tcW w:w="3143" w:type="dxa"/>
            <w:gridSpan w:val="2"/>
            <w:vMerge/>
            <w:shd w:val="clear" w:color="auto" w:fill="auto"/>
            <w:vAlign w:val="center"/>
          </w:tcPr>
          <w:p w14:paraId="1A2927D2" w14:textId="77777777" w:rsidR="001F4BC9" w:rsidDel="00052630" w:rsidRDefault="001F4BC9" w:rsidP="00945AFC">
            <w:pPr>
              <w:spacing w:before="60" w:after="60"/>
              <w:jc w:val="both"/>
              <w:rPr>
                <w:sz w:val="28"/>
                <w:szCs w:val="28"/>
              </w:rPr>
            </w:pPr>
          </w:p>
        </w:tc>
        <w:tc>
          <w:tcPr>
            <w:tcW w:w="6485" w:type="dxa"/>
            <w:gridSpan w:val="2"/>
            <w:shd w:val="clear" w:color="auto" w:fill="auto"/>
            <w:vAlign w:val="center"/>
          </w:tcPr>
          <w:p w14:paraId="37E954D1" w14:textId="2855A26D" w:rsidR="001F4BC9" w:rsidRPr="009229F2" w:rsidRDefault="009229F2" w:rsidP="00945AFC">
            <w:pPr>
              <w:spacing w:before="60" w:after="60"/>
              <w:jc w:val="both"/>
              <w:rPr>
                <w:sz w:val="28"/>
                <w:szCs w:val="28"/>
              </w:rPr>
            </w:pPr>
            <w:r w:rsidRPr="009229F2">
              <w:rPr>
                <w:color w:val="212121"/>
                <w:shd w:val="clear" w:color="auto" w:fill="FFFFFF"/>
              </w:rPr>
              <w:t xml:space="preserve">Giannella M, Righi E, Pascale R, Rinaldi M, Caroccia N, Gamberini C, Palacios-Baena ZR, Caponcello G, Morelli MC, Tamè M, Busutti M, Comai G, Potena L, Salvaterra E, Feltrin G, Cillo U, Gerosa G, Cananzi M, Piano S, Benetti E, Burra P, Loy M, Furian L, Zaza G, Onorati F, Carraro A, Gastaldon F, Nordio M, Kumar-Singh S, </w:t>
            </w:r>
            <w:r w:rsidRPr="00153573">
              <w:rPr>
                <w:b/>
                <w:bCs/>
                <w:color w:val="212121"/>
                <w:shd w:val="clear" w:color="auto" w:fill="FFFFFF"/>
              </w:rPr>
              <w:t>Abedini M</w:t>
            </w:r>
            <w:r w:rsidRPr="009229F2">
              <w:rPr>
                <w:color w:val="212121"/>
                <w:shd w:val="clear" w:color="auto" w:fill="FFFFFF"/>
              </w:rPr>
              <w:t xml:space="preserve">, Boffetta P, Rodríguez-Baño J, Lazzarotto T, Viale P, Tacconelli E, On Behalf Of The Orchestra Study Group Workpackage. </w:t>
            </w:r>
            <w:r w:rsidRPr="009229F2">
              <w:rPr>
                <w:color w:val="212121"/>
                <w:shd w:val="clear" w:color="auto" w:fill="FFFFFF"/>
                <w:lang w:val="en-US"/>
              </w:rPr>
              <w:t xml:space="preserve">Evaluation of the Kinetics of Antibody Response to COVID-19 Vaccine in Solid Organ Transplant Recipients: The Prospective Multicenter ORCHESTRA Cohort. </w:t>
            </w:r>
            <w:r w:rsidRPr="009229F2">
              <w:rPr>
                <w:color w:val="212121"/>
                <w:shd w:val="clear" w:color="auto" w:fill="FFFFFF"/>
              </w:rPr>
              <w:t>Microorganisms. 2022 May 12;10(5):1021. doi: 10.3390/microorganisms10051021. PMID: 35630462; PMCID: PMC9147204.</w:t>
            </w:r>
          </w:p>
        </w:tc>
      </w:tr>
      <w:tr w:rsidR="001F4BC9" w:rsidRPr="00F70053" w14:paraId="15E7211F" w14:textId="77777777" w:rsidTr="009229F2">
        <w:trPr>
          <w:trHeight w:val="592"/>
        </w:trPr>
        <w:tc>
          <w:tcPr>
            <w:tcW w:w="3143" w:type="dxa"/>
            <w:gridSpan w:val="2"/>
            <w:vMerge/>
            <w:shd w:val="clear" w:color="auto" w:fill="auto"/>
            <w:vAlign w:val="center"/>
          </w:tcPr>
          <w:p w14:paraId="5E2D9F9B" w14:textId="77777777" w:rsidR="001F4BC9" w:rsidDel="00052630" w:rsidRDefault="001F4BC9" w:rsidP="00945AFC">
            <w:pPr>
              <w:spacing w:before="60" w:after="60"/>
              <w:jc w:val="both"/>
              <w:rPr>
                <w:sz w:val="28"/>
                <w:szCs w:val="28"/>
              </w:rPr>
            </w:pPr>
          </w:p>
        </w:tc>
        <w:tc>
          <w:tcPr>
            <w:tcW w:w="6485" w:type="dxa"/>
            <w:gridSpan w:val="2"/>
            <w:shd w:val="clear" w:color="auto" w:fill="auto"/>
            <w:vAlign w:val="center"/>
          </w:tcPr>
          <w:p w14:paraId="1750E829" w14:textId="4FDEA3C9" w:rsidR="001F4BC9" w:rsidRPr="009229F2" w:rsidRDefault="009229F2" w:rsidP="00945AFC">
            <w:pPr>
              <w:spacing w:before="60" w:after="60"/>
              <w:jc w:val="both"/>
              <w:rPr>
                <w:sz w:val="28"/>
                <w:szCs w:val="28"/>
              </w:rPr>
            </w:pPr>
            <w:r w:rsidRPr="009229F2">
              <w:rPr>
                <w:color w:val="212121"/>
                <w:shd w:val="clear" w:color="auto" w:fill="FFFFFF"/>
              </w:rPr>
              <w:t xml:space="preserve">Visci G, Zunarelli C, Mansour I, Porru S, De Palma G, Duval X, Monaco MGL, Spiteri G, Carta A, Lippi G, Verlato G, Sansone E, Sala E, Lombardo M, </w:t>
            </w:r>
            <w:r w:rsidRPr="00153573">
              <w:rPr>
                <w:b/>
                <w:bCs/>
                <w:color w:val="212121"/>
                <w:shd w:val="clear" w:color="auto" w:fill="FFFFFF"/>
              </w:rPr>
              <w:t>Abedini M</w:t>
            </w:r>
            <w:r w:rsidRPr="009229F2">
              <w:rPr>
                <w:color w:val="212121"/>
                <w:shd w:val="clear" w:color="auto" w:fill="FFFFFF"/>
              </w:rPr>
              <w:t xml:space="preserve">, Violante F, Boffetta P. </w:t>
            </w:r>
            <w:r w:rsidRPr="009229F2">
              <w:rPr>
                <w:color w:val="212121"/>
                <w:shd w:val="clear" w:color="auto" w:fill="FFFFFF"/>
              </w:rPr>
              <w:lastRenderedPageBreak/>
              <w:t>Serological response after SARS-CoV2 vaccination in healthcare workers: a multicenter study. Med Lav. 2022 Apr 26;113(2):e2022022. doi: 10.23749/mdl.v113i2.13017. PMID: 35481576; PMCID: PMC9073755.</w:t>
            </w:r>
          </w:p>
        </w:tc>
      </w:tr>
      <w:tr w:rsidR="001F4BC9" w:rsidRPr="00F70053" w14:paraId="1843377C" w14:textId="77777777" w:rsidTr="009229F2">
        <w:trPr>
          <w:trHeight w:val="592"/>
        </w:trPr>
        <w:tc>
          <w:tcPr>
            <w:tcW w:w="3143" w:type="dxa"/>
            <w:gridSpan w:val="2"/>
            <w:vMerge/>
            <w:shd w:val="clear" w:color="auto" w:fill="auto"/>
            <w:vAlign w:val="center"/>
          </w:tcPr>
          <w:p w14:paraId="5EEE6CE4" w14:textId="77777777" w:rsidR="001F4BC9" w:rsidDel="00052630" w:rsidRDefault="001F4BC9" w:rsidP="00945AFC">
            <w:pPr>
              <w:spacing w:before="60" w:after="60"/>
              <w:jc w:val="both"/>
              <w:rPr>
                <w:sz w:val="28"/>
                <w:szCs w:val="28"/>
              </w:rPr>
            </w:pPr>
          </w:p>
        </w:tc>
        <w:tc>
          <w:tcPr>
            <w:tcW w:w="6485" w:type="dxa"/>
            <w:gridSpan w:val="2"/>
            <w:shd w:val="clear" w:color="auto" w:fill="auto"/>
            <w:vAlign w:val="center"/>
          </w:tcPr>
          <w:p w14:paraId="7BD43D5E" w14:textId="6D273782" w:rsidR="001F4BC9" w:rsidRPr="0021533C" w:rsidRDefault="009229F2" w:rsidP="009229F2">
            <w:pPr>
              <w:autoSpaceDE w:val="0"/>
              <w:autoSpaceDN w:val="0"/>
              <w:adjustRightInd w:val="0"/>
              <w:rPr>
                <w:sz w:val="28"/>
                <w:szCs w:val="28"/>
              </w:rPr>
            </w:pPr>
            <w:r w:rsidRPr="000A4437">
              <w:t xml:space="preserve">Collatuzzo G, Visci G, Violante FS, Porru S, Spiteri G, Monaco MGL, Larese Filon F, Negro C, Janke C, Castelletti N, De Palma G, Sansone E, Mates D, Teodorescu S, Fabianova E, Beresva J, Vimercati L, Tafuri S, </w:t>
            </w:r>
            <w:r w:rsidRPr="00153573">
              <w:rPr>
                <w:b/>
                <w:bCs/>
              </w:rPr>
              <w:t>Abedini M</w:t>
            </w:r>
            <w:r w:rsidRPr="000A4437">
              <w:t xml:space="preserve">, Ditano G, Asafo SS, Boffetta P, and Orchestra WP5 Working Group. </w:t>
            </w:r>
            <w:r w:rsidRPr="009229F2">
              <w:rPr>
                <w:lang w:val="en-US"/>
              </w:rPr>
              <w:t xml:space="preserve">Determinants of anti-S immune response at 6 months after COVID-19 vaccination in a multicentric European cohort of healthcare workers – ORCHESTRA project. </w:t>
            </w:r>
            <w:r w:rsidRPr="000A4437">
              <w:t>Front Immunol 2022 (in press)</w:t>
            </w:r>
          </w:p>
        </w:tc>
      </w:tr>
      <w:tr w:rsidR="008F7FAD" w:rsidRPr="0021533C" w14:paraId="4A69B6D9" w14:textId="77777777" w:rsidTr="009229F2">
        <w:trPr>
          <w:trHeight w:val="420"/>
        </w:trPr>
        <w:tc>
          <w:tcPr>
            <w:tcW w:w="3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5F18" w14:textId="77777777" w:rsidR="008F7FAD" w:rsidRPr="0021533C" w:rsidRDefault="008F7FAD" w:rsidP="00945AFC">
            <w:pPr>
              <w:spacing w:before="60" w:after="60"/>
              <w:jc w:val="both"/>
              <w:rPr>
                <w:sz w:val="28"/>
                <w:szCs w:val="28"/>
              </w:rPr>
            </w:pPr>
            <w:r>
              <w:rPr>
                <w:sz w:val="28"/>
                <w:szCs w:val="28"/>
              </w:rPr>
              <w:t>Nome e n° mesi assegnista 2</w:t>
            </w: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10DC2" w14:textId="31FC0443" w:rsidR="008F7FAD" w:rsidRPr="0021533C" w:rsidRDefault="009229F2" w:rsidP="00945AFC">
            <w:pPr>
              <w:spacing w:before="60" w:after="60"/>
              <w:jc w:val="both"/>
              <w:rPr>
                <w:sz w:val="28"/>
                <w:szCs w:val="28"/>
              </w:rPr>
            </w:pPr>
            <w:r>
              <w:rPr>
                <w:sz w:val="28"/>
                <w:szCs w:val="28"/>
              </w:rPr>
              <w:t>Giorgia Ditano - 12 mesi</w:t>
            </w:r>
          </w:p>
        </w:tc>
      </w:tr>
      <w:tr w:rsidR="001F4BC9" w:rsidRPr="00FE6CF6" w14:paraId="64E90DA1" w14:textId="77777777" w:rsidTr="009229F2">
        <w:trPr>
          <w:trHeight w:val="594"/>
        </w:trPr>
        <w:tc>
          <w:tcPr>
            <w:tcW w:w="3143" w:type="dxa"/>
            <w:gridSpan w:val="2"/>
            <w:vMerge w:val="restart"/>
            <w:tcBorders>
              <w:top w:val="single" w:sz="4" w:space="0" w:color="auto"/>
              <w:left w:val="single" w:sz="4" w:space="0" w:color="auto"/>
              <w:right w:val="single" w:sz="4" w:space="0" w:color="auto"/>
            </w:tcBorders>
            <w:shd w:val="clear" w:color="auto" w:fill="auto"/>
            <w:vAlign w:val="center"/>
          </w:tcPr>
          <w:p w14:paraId="549887D6" w14:textId="77777777" w:rsidR="001F4BC9" w:rsidRPr="00FE6CF6" w:rsidRDefault="001F4BC9" w:rsidP="00945AFC">
            <w:pPr>
              <w:spacing w:before="60" w:after="60"/>
              <w:jc w:val="both"/>
              <w:rPr>
                <w:sz w:val="28"/>
                <w:szCs w:val="28"/>
              </w:rPr>
            </w:pPr>
            <w:r w:rsidRPr="00472D5F">
              <w:rPr>
                <w:b/>
                <w:sz w:val="28"/>
                <w:szCs w:val="28"/>
              </w:rPr>
              <w:t>Max. 4</w:t>
            </w:r>
            <w:r>
              <w:rPr>
                <w:sz w:val="28"/>
                <w:szCs w:val="28"/>
              </w:rPr>
              <w:t xml:space="preserve"> lavori in extenso su riviste indicizzate PubMed</w:t>
            </w: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FF0E2" w14:textId="4574C600" w:rsidR="001F4BC9" w:rsidRPr="009229F2" w:rsidRDefault="009229F2" w:rsidP="00945AFC">
            <w:pPr>
              <w:spacing w:before="60" w:after="60"/>
              <w:jc w:val="both"/>
              <w:rPr>
                <w:sz w:val="28"/>
                <w:szCs w:val="28"/>
              </w:rPr>
            </w:pPr>
            <w:r w:rsidRPr="009229F2">
              <w:rPr>
                <w:color w:val="212121"/>
                <w:shd w:val="clear" w:color="auto" w:fill="FFFFFF"/>
              </w:rPr>
              <w:t xml:space="preserve">Porru S, Monaco MGL, Spiteri G, Carta A, Pezzani MD, Lippi G, Gibellini D, Tacconelli E, Dalla Vecchia I, Sala E, Sansone E, De Palma G, Bonfanti C, Lombardo M, Terlenghi L, Pira E, Mansour I, Coggiola M, Ciocan C, Godono A, Tardon A, Rodriguez-Suarez MM, Fernandez-Tardon G, Jimeno-Demuth FJ, Castro-Delgado RV, Iglesias Cabo T, Scapellato ML, Liviero F, Moretto A, Mason P, Pavanello S, Volpin A, Vimercati L, Tafuri S, De Maria L, Sponselli S, Stefanizzi P, Caputi A, Gobba F, Modenese A, Casolari L, Garavini D, D'Elia C, Mariani S, Filon FL, Cegolon L, Negro C, Ronchese F, Rui F, De Michieli P, Murgia N, Dell'Omo M, Muzi G, Fiordi T, Gambelunghe A, Folletti I, Mates D, Calota VC, Neamtu A, Perseca O, Staicu CA, Voinoiu A, Fabiánová E, Bérešová J, Adamčáková ZK, Nedela R, Lesňáková A, Holčíková J, Boffetta P, Abedini M, </w:t>
            </w:r>
            <w:r w:rsidRPr="00153573">
              <w:rPr>
                <w:b/>
                <w:bCs/>
                <w:color w:val="212121"/>
                <w:shd w:val="clear" w:color="auto" w:fill="FFFFFF"/>
              </w:rPr>
              <w:t>Ditano G</w:t>
            </w:r>
            <w:r w:rsidRPr="009229F2">
              <w:rPr>
                <w:color w:val="212121"/>
                <w:shd w:val="clear" w:color="auto" w:fill="FFFFFF"/>
              </w:rPr>
              <w:t>, Asafo SS, Visci G, Violante FS, Zunarelli C, Verlato G. SARS-CoV-2 Breakthrough Infections: Incidence and Risk Factors in a Large European Multicentric Cohort of Health Workers. Vaccines (Basel). 2022 Jul 27;10(8):1193. doi: 10.3390/vaccines10081193. PMID: 36016081; PMCID: PMC9415790.</w:t>
            </w:r>
          </w:p>
        </w:tc>
      </w:tr>
      <w:tr w:rsidR="001F4BC9" w:rsidRPr="00FE6CF6" w14:paraId="130F7515"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5BBCB952"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E64D7" w14:textId="45658EAB" w:rsidR="001F4BC9" w:rsidRPr="0021533C" w:rsidRDefault="009229F2" w:rsidP="009229F2">
            <w:pPr>
              <w:autoSpaceDE w:val="0"/>
              <w:autoSpaceDN w:val="0"/>
              <w:adjustRightInd w:val="0"/>
              <w:rPr>
                <w:sz w:val="28"/>
                <w:szCs w:val="28"/>
              </w:rPr>
            </w:pPr>
            <w:r w:rsidRPr="000A4437">
              <w:t xml:space="preserve">Collatuzzo G, Visci G, Violante FS, Porru S, Spiteri G, Monaco MGL, Larese Filon F, Negro C, Janke C, Castelletti N, De Palma G, Sansone E, Mates D, Teodorescu S, Fabianova E, Beresva J, Vimercati L, Tafuri S, Abedini M, </w:t>
            </w:r>
            <w:r w:rsidRPr="00153573">
              <w:rPr>
                <w:b/>
                <w:bCs/>
              </w:rPr>
              <w:t>Ditano G</w:t>
            </w:r>
            <w:r w:rsidRPr="000A4437">
              <w:t xml:space="preserve">, Asafo SS, Boffetta P, and Orchestra WP5 Working Group. </w:t>
            </w:r>
            <w:r w:rsidRPr="009229F2">
              <w:rPr>
                <w:lang w:val="en-US"/>
              </w:rPr>
              <w:t xml:space="preserve">Determinants of anti-S immune response at 6 months after COVID-19 vaccination in a multicentric European cohort of healthcare workers – ORCHESTRA project. </w:t>
            </w:r>
            <w:r w:rsidRPr="000A4437">
              <w:t>Front Immunol 2022 (in press)</w:t>
            </w:r>
          </w:p>
        </w:tc>
      </w:tr>
      <w:tr w:rsidR="001F4BC9" w:rsidRPr="00FE6CF6" w14:paraId="2412FC2E"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530B6C89"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FAFAA" w14:textId="77777777" w:rsidR="001F4BC9" w:rsidRPr="0021533C" w:rsidRDefault="001F4BC9" w:rsidP="00945AFC">
            <w:pPr>
              <w:spacing w:before="60" w:after="60"/>
              <w:jc w:val="both"/>
              <w:rPr>
                <w:sz w:val="28"/>
                <w:szCs w:val="28"/>
              </w:rPr>
            </w:pPr>
          </w:p>
        </w:tc>
      </w:tr>
      <w:tr w:rsidR="001F4BC9" w:rsidRPr="00FE6CF6" w14:paraId="2EEEE8E1" w14:textId="77777777" w:rsidTr="009229F2">
        <w:trPr>
          <w:trHeight w:val="592"/>
        </w:trPr>
        <w:tc>
          <w:tcPr>
            <w:tcW w:w="3143" w:type="dxa"/>
            <w:gridSpan w:val="2"/>
            <w:vMerge/>
            <w:tcBorders>
              <w:left w:val="single" w:sz="4" w:space="0" w:color="auto"/>
              <w:bottom w:val="single" w:sz="4" w:space="0" w:color="auto"/>
              <w:right w:val="single" w:sz="4" w:space="0" w:color="auto"/>
            </w:tcBorders>
            <w:shd w:val="clear" w:color="auto" w:fill="auto"/>
            <w:vAlign w:val="center"/>
          </w:tcPr>
          <w:p w14:paraId="07612816"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B9063" w14:textId="77777777" w:rsidR="001F4BC9" w:rsidRPr="0021533C" w:rsidRDefault="001F4BC9" w:rsidP="00945AFC">
            <w:pPr>
              <w:spacing w:before="60" w:after="60"/>
              <w:jc w:val="both"/>
              <w:rPr>
                <w:sz w:val="28"/>
                <w:szCs w:val="28"/>
              </w:rPr>
            </w:pPr>
          </w:p>
        </w:tc>
      </w:tr>
      <w:tr w:rsidR="008F7FAD" w:rsidRPr="0021533C" w14:paraId="06434C95" w14:textId="77777777" w:rsidTr="009229F2">
        <w:trPr>
          <w:trHeight w:val="417"/>
        </w:trPr>
        <w:tc>
          <w:tcPr>
            <w:tcW w:w="3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8BB15" w14:textId="77777777" w:rsidR="008F7FAD" w:rsidRPr="0021533C" w:rsidRDefault="008F7FAD" w:rsidP="00945AFC">
            <w:pPr>
              <w:spacing w:before="60" w:after="60"/>
              <w:jc w:val="both"/>
              <w:rPr>
                <w:sz w:val="28"/>
                <w:szCs w:val="28"/>
              </w:rPr>
            </w:pPr>
            <w:r>
              <w:rPr>
                <w:sz w:val="28"/>
                <w:szCs w:val="28"/>
              </w:rPr>
              <w:t>Nome e n° mesi assegnista 3</w:t>
            </w: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E913" w14:textId="7E445133" w:rsidR="008F7FAD" w:rsidRPr="0021533C" w:rsidRDefault="009229F2" w:rsidP="00945AFC">
            <w:pPr>
              <w:spacing w:before="60" w:after="60"/>
              <w:jc w:val="both"/>
              <w:rPr>
                <w:sz w:val="28"/>
                <w:szCs w:val="28"/>
              </w:rPr>
            </w:pPr>
            <w:r>
              <w:rPr>
                <w:sz w:val="28"/>
                <w:szCs w:val="28"/>
              </w:rPr>
              <w:t>Shuffield S. Asafo - 12 mesi</w:t>
            </w:r>
          </w:p>
        </w:tc>
      </w:tr>
      <w:tr w:rsidR="009229F2" w:rsidRPr="00FE6CF6" w14:paraId="6039B419" w14:textId="77777777" w:rsidTr="009229F2">
        <w:trPr>
          <w:trHeight w:val="594"/>
        </w:trPr>
        <w:tc>
          <w:tcPr>
            <w:tcW w:w="3143" w:type="dxa"/>
            <w:gridSpan w:val="2"/>
            <w:vMerge w:val="restart"/>
            <w:tcBorders>
              <w:top w:val="single" w:sz="4" w:space="0" w:color="auto"/>
              <w:left w:val="single" w:sz="4" w:space="0" w:color="auto"/>
              <w:right w:val="single" w:sz="4" w:space="0" w:color="auto"/>
            </w:tcBorders>
            <w:shd w:val="clear" w:color="auto" w:fill="auto"/>
            <w:vAlign w:val="center"/>
          </w:tcPr>
          <w:p w14:paraId="5EDD98F7" w14:textId="77777777" w:rsidR="009229F2" w:rsidRPr="0021533C" w:rsidRDefault="009229F2" w:rsidP="009229F2">
            <w:pPr>
              <w:spacing w:before="60" w:after="60"/>
              <w:jc w:val="both"/>
              <w:rPr>
                <w:sz w:val="28"/>
                <w:szCs w:val="28"/>
              </w:rPr>
            </w:pPr>
            <w:r w:rsidRPr="00472D5F">
              <w:rPr>
                <w:b/>
                <w:sz w:val="28"/>
                <w:szCs w:val="28"/>
              </w:rPr>
              <w:t>Max. 4</w:t>
            </w:r>
            <w:r>
              <w:rPr>
                <w:sz w:val="28"/>
                <w:szCs w:val="28"/>
              </w:rPr>
              <w:t xml:space="preserve"> lavori in extenso su riviste indicizzate PubMed</w:t>
            </w: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21557" w14:textId="3D8FA7C7" w:rsidR="009229F2" w:rsidRPr="0021533C" w:rsidRDefault="009229F2" w:rsidP="009229F2">
            <w:pPr>
              <w:spacing w:before="60" w:after="60"/>
              <w:jc w:val="both"/>
              <w:rPr>
                <w:sz w:val="28"/>
                <w:szCs w:val="28"/>
              </w:rPr>
            </w:pPr>
            <w:r w:rsidRPr="009229F2">
              <w:rPr>
                <w:color w:val="212121"/>
                <w:shd w:val="clear" w:color="auto" w:fill="FFFFFF"/>
              </w:rPr>
              <w:t xml:space="preserve">Porru S, Monaco MGL, Spiteri G, Carta A, Pezzani MD, Lippi G, Gibellini D, Tacconelli E, Dalla Vecchia I, Sala E, Sansone E, De Palma G, Bonfanti C, Lombardo M, Terlenghi L, Pira E, Mansour I, Coggiola M, Ciocan C, Godono A, Tardon A, Rodriguez-Suarez MM, Fernandez-Tardon G, Jimeno-Demuth FJ, Castro-Delgado RV, Iglesias Cabo T, Scapellato ML, Liviero F, Moretto A, Mason P, Pavanello S, Volpin A, Vimercati L, Tafuri S, De Maria L, Sponselli S, Stefanizzi P, Caputi A, Gobba F, Modenese A, Casolari L, Garavini D, D'Elia C, Mariani S, Filon FL, Cegolon L, Negro C, Ronchese F, Rui F, De Michieli P, Murgia N, Dell'Omo M, Muzi G, Fiordi T, Gambelunghe A, Folletti I, Mates D, Calota VC, Neamtu A, Perseca O, Staicu CA, Voinoiu A, Fabiánová E, Bérešová J, Adamčáková ZK, Nedela R, Lesňáková A, Holčíková J, Boffetta P, Abedini M, Ditano G, </w:t>
            </w:r>
            <w:r w:rsidRPr="00153573">
              <w:rPr>
                <w:b/>
                <w:bCs/>
                <w:color w:val="212121"/>
                <w:shd w:val="clear" w:color="auto" w:fill="FFFFFF"/>
              </w:rPr>
              <w:t>Asafo SS</w:t>
            </w:r>
            <w:r w:rsidRPr="009229F2">
              <w:rPr>
                <w:color w:val="212121"/>
                <w:shd w:val="clear" w:color="auto" w:fill="FFFFFF"/>
              </w:rPr>
              <w:t>, Visci G, Violante FS, Zunarelli C, Verlato G. SARS-CoV-2 Breakthrough Infections: Incidence and Risk Factors in a Large European Multicentric Cohort of Health Workers. Vaccines (Basel). 2022 Jul 27;10(8):1193. doi: 10.3390/vaccines10081193. PMID: 36016081; PMCID: PMC9415790.</w:t>
            </w:r>
          </w:p>
        </w:tc>
      </w:tr>
      <w:tr w:rsidR="009229F2" w:rsidRPr="00FE6CF6" w14:paraId="48998CAD"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20BF08E9" w14:textId="77777777" w:rsidR="009229F2" w:rsidRPr="00472D5F" w:rsidRDefault="009229F2" w:rsidP="009229F2">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5A6B6" w14:textId="4B245B54" w:rsidR="009229F2" w:rsidRPr="0021533C" w:rsidRDefault="009229F2" w:rsidP="009229F2">
            <w:pPr>
              <w:spacing w:before="60" w:after="60"/>
              <w:jc w:val="both"/>
              <w:rPr>
                <w:sz w:val="28"/>
                <w:szCs w:val="28"/>
              </w:rPr>
            </w:pPr>
            <w:r w:rsidRPr="000A4437">
              <w:t xml:space="preserve">Collatuzzo G, Visci G, Violante FS, Porru S, Spiteri G, Monaco MGL, Larese Filon F, Negro C, Janke C, Castelletti N, De Palma G, Sansone E, Mates D, Teodorescu S, Fabianova E, Beresva J, Vimercati L, Tafuri S, Abedini M, Ditano G, </w:t>
            </w:r>
            <w:r w:rsidRPr="00153573">
              <w:rPr>
                <w:b/>
                <w:bCs/>
              </w:rPr>
              <w:t>Asafo SS</w:t>
            </w:r>
            <w:r w:rsidRPr="000A4437">
              <w:t xml:space="preserve">, Boffetta P, and Orchestra WP5 Working Group. </w:t>
            </w:r>
            <w:r w:rsidRPr="009229F2">
              <w:rPr>
                <w:lang w:val="en-US"/>
              </w:rPr>
              <w:t xml:space="preserve">Determinants of anti-S immune response at 6 months after COVID-19 vaccination in a multicentric European cohort of healthcare workers – ORCHESTRA project. </w:t>
            </w:r>
            <w:r w:rsidRPr="000A4437">
              <w:t>Front Immunol 2022 (in press)</w:t>
            </w:r>
          </w:p>
        </w:tc>
      </w:tr>
      <w:tr w:rsidR="001F4BC9" w:rsidRPr="00FE6CF6" w14:paraId="043B3C86"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45B6ACA7"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A5A6A" w14:textId="77777777" w:rsidR="001F4BC9" w:rsidRPr="0021533C" w:rsidRDefault="001F4BC9" w:rsidP="00945AFC">
            <w:pPr>
              <w:spacing w:before="60" w:after="60"/>
              <w:jc w:val="both"/>
              <w:rPr>
                <w:sz w:val="28"/>
                <w:szCs w:val="28"/>
              </w:rPr>
            </w:pPr>
          </w:p>
        </w:tc>
      </w:tr>
      <w:tr w:rsidR="001F4BC9" w:rsidRPr="00FE6CF6" w14:paraId="67AA947F" w14:textId="77777777" w:rsidTr="009229F2">
        <w:trPr>
          <w:trHeight w:val="592"/>
        </w:trPr>
        <w:tc>
          <w:tcPr>
            <w:tcW w:w="3143" w:type="dxa"/>
            <w:gridSpan w:val="2"/>
            <w:vMerge/>
            <w:tcBorders>
              <w:left w:val="single" w:sz="4" w:space="0" w:color="auto"/>
              <w:bottom w:val="single" w:sz="4" w:space="0" w:color="auto"/>
              <w:right w:val="single" w:sz="4" w:space="0" w:color="auto"/>
            </w:tcBorders>
            <w:shd w:val="clear" w:color="auto" w:fill="auto"/>
            <w:vAlign w:val="center"/>
          </w:tcPr>
          <w:p w14:paraId="6F8D9401"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3D477" w14:textId="77777777" w:rsidR="001F4BC9" w:rsidRPr="0021533C" w:rsidRDefault="001F4BC9" w:rsidP="00945AFC">
            <w:pPr>
              <w:spacing w:before="60" w:after="60"/>
              <w:jc w:val="both"/>
              <w:rPr>
                <w:sz w:val="28"/>
                <w:szCs w:val="28"/>
              </w:rPr>
            </w:pPr>
          </w:p>
        </w:tc>
      </w:tr>
      <w:tr w:rsidR="008F7FAD" w:rsidRPr="0021533C" w14:paraId="669EF839" w14:textId="77777777" w:rsidTr="009229F2">
        <w:trPr>
          <w:trHeight w:val="430"/>
        </w:trPr>
        <w:tc>
          <w:tcPr>
            <w:tcW w:w="3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FBFFB" w14:textId="77777777" w:rsidR="008F7FAD" w:rsidRPr="0021533C" w:rsidRDefault="008F7FAD" w:rsidP="00945AFC">
            <w:pPr>
              <w:spacing w:before="60" w:after="60"/>
              <w:jc w:val="both"/>
              <w:rPr>
                <w:sz w:val="28"/>
                <w:szCs w:val="28"/>
              </w:rPr>
            </w:pPr>
            <w:r>
              <w:rPr>
                <w:sz w:val="28"/>
                <w:szCs w:val="28"/>
              </w:rPr>
              <w:t>Nome e n° mesi assegnista 4</w:t>
            </w: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4AC9D" w14:textId="465220FA" w:rsidR="008F7FAD" w:rsidRPr="00153573" w:rsidRDefault="009229F2" w:rsidP="00945AFC">
            <w:pPr>
              <w:spacing w:before="60" w:after="60"/>
              <w:jc w:val="both"/>
              <w:rPr>
                <w:sz w:val="28"/>
                <w:szCs w:val="28"/>
              </w:rPr>
            </w:pPr>
            <w:r w:rsidRPr="00153573">
              <w:rPr>
                <w:sz w:val="28"/>
                <w:szCs w:val="28"/>
              </w:rPr>
              <w:t xml:space="preserve">Monireh S. Seyyedsalehi - </w:t>
            </w:r>
            <w:r w:rsidR="00153573">
              <w:rPr>
                <w:sz w:val="28"/>
                <w:szCs w:val="28"/>
              </w:rPr>
              <w:t>7</w:t>
            </w:r>
            <w:r w:rsidR="0024724A" w:rsidRPr="00153573">
              <w:rPr>
                <w:sz w:val="28"/>
                <w:szCs w:val="28"/>
              </w:rPr>
              <w:t xml:space="preserve"> mesi</w:t>
            </w:r>
          </w:p>
        </w:tc>
      </w:tr>
      <w:tr w:rsidR="001F4BC9" w:rsidRPr="00FE6CF6" w14:paraId="3444E623" w14:textId="77777777" w:rsidTr="009229F2">
        <w:trPr>
          <w:trHeight w:val="594"/>
        </w:trPr>
        <w:tc>
          <w:tcPr>
            <w:tcW w:w="3143" w:type="dxa"/>
            <w:gridSpan w:val="2"/>
            <w:vMerge w:val="restart"/>
            <w:tcBorders>
              <w:top w:val="single" w:sz="4" w:space="0" w:color="auto"/>
              <w:left w:val="single" w:sz="4" w:space="0" w:color="auto"/>
              <w:right w:val="single" w:sz="4" w:space="0" w:color="auto"/>
            </w:tcBorders>
            <w:shd w:val="clear" w:color="auto" w:fill="auto"/>
            <w:vAlign w:val="center"/>
          </w:tcPr>
          <w:p w14:paraId="7BA57FD7" w14:textId="77777777" w:rsidR="001F4BC9" w:rsidRPr="00FE6CF6" w:rsidRDefault="001F4BC9" w:rsidP="00945AFC">
            <w:pPr>
              <w:spacing w:before="60" w:after="60"/>
              <w:jc w:val="both"/>
              <w:rPr>
                <w:sz w:val="28"/>
                <w:szCs w:val="28"/>
              </w:rPr>
            </w:pPr>
            <w:r w:rsidRPr="00472D5F">
              <w:rPr>
                <w:b/>
                <w:sz w:val="28"/>
                <w:szCs w:val="28"/>
              </w:rPr>
              <w:t>Max. 4</w:t>
            </w:r>
            <w:r>
              <w:rPr>
                <w:sz w:val="28"/>
                <w:szCs w:val="28"/>
              </w:rPr>
              <w:t xml:space="preserve"> lavori in extenso su riviste indicizzate PubMed</w:t>
            </w: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652D8" w14:textId="1B6ACA4D" w:rsidR="001F4BC9" w:rsidRPr="00153573" w:rsidRDefault="0024724A" w:rsidP="0024724A">
            <w:pPr>
              <w:spacing w:before="60" w:after="60"/>
              <w:jc w:val="both"/>
            </w:pPr>
            <w:r w:rsidRPr="00153573">
              <w:t>Collatuzzo G</w:t>
            </w:r>
            <w:r w:rsidRPr="00153573">
              <w:rPr>
                <w:b/>
                <w:bCs/>
              </w:rPr>
              <w:t>, Seyyedsalehi MS</w:t>
            </w:r>
            <w:r w:rsidRPr="00153573">
              <w:t xml:space="preserve">, Rezaeianzadeh A, Marzban M, Rashidian H, Hadji M, Kamangar F, Etemadi A, Pukkala E, Zendehdel K, Boffetta P. Consumption of Yoghurt and Other Dairy Products and Risk of Colorectal Cancer in Iran: The </w:t>
            </w:r>
            <w:r w:rsidRPr="00153573">
              <w:lastRenderedPageBreak/>
              <w:t xml:space="preserve">IROPICAN Study. </w:t>
            </w:r>
            <w:r w:rsidRPr="00153573">
              <w:rPr>
                <w:lang w:val="en-US"/>
              </w:rPr>
              <w:t xml:space="preserve">Nutrients. 2022 Jun 16;14(12):2506. </w:t>
            </w:r>
            <w:proofErr w:type="spellStart"/>
            <w:r w:rsidRPr="00153573">
              <w:rPr>
                <w:lang w:val="en-US"/>
              </w:rPr>
              <w:t>doi</w:t>
            </w:r>
            <w:proofErr w:type="spellEnd"/>
            <w:r w:rsidRPr="00153573">
              <w:rPr>
                <w:lang w:val="en-US"/>
              </w:rPr>
              <w:t xml:space="preserve">: 10.3390/nu14122506. </w:t>
            </w:r>
            <w:r w:rsidRPr="00153573">
              <w:t>PMID: 35745234; PMCID: PMC9228368.</w:t>
            </w:r>
          </w:p>
        </w:tc>
      </w:tr>
      <w:tr w:rsidR="001F4BC9" w:rsidRPr="00FE6CF6" w14:paraId="085B32E8"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523D92FF"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D2904" w14:textId="3A3014C9" w:rsidR="001F4BC9" w:rsidRPr="00153573" w:rsidRDefault="0024724A" w:rsidP="0024724A">
            <w:pPr>
              <w:spacing w:before="60" w:after="60"/>
              <w:jc w:val="both"/>
            </w:pPr>
            <w:r w:rsidRPr="00153573">
              <w:t xml:space="preserve">Hadji M, Rashidian H, Marzban M, Naghibzadeh-Tahami A, Gholipour M, Mohebbi E, Safari-Faramani R, </w:t>
            </w:r>
            <w:r w:rsidRPr="00153573">
              <w:rPr>
                <w:b/>
                <w:bCs/>
              </w:rPr>
              <w:t>Seyyedsalehi MS</w:t>
            </w:r>
            <w:r w:rsidRPr="00153573">
              <w:t>, Hosseini B, Bakhshi M, Alizadeh-Navaei R, Ahmadi L, Rezaianzadeh A, Moradi A, Ansari-Moghaddam A, Nejatizadeh A, Shahid</w:t>
            </w:r>
            <w:r w:rsidR="00153573">
              <w:t xml:space="preserve"> </w:t>
            </w:r>
            <w:r w:rsidRPr="00153573">
              <w:t xml:space="preserve">Sales S, Zohrabi F, Mohammadi R, Nowroozi MR, Poustchi H, Nasrollahzadeh D, Najafi F, Haghdoost AA, Rahimi-Movaghar A, Etemadi A, Mohagheghi MA, Malekzadeh R, Brennan P, Schüz J, Boffetta P, Weiderpass E, Kamangar F, Zendehdel K, Pukkala E. Opium use and risk of bladder cancer: a multi-centre case-referent study in Iran. </w:t>
            </w:r>
            <w:r w:rsidRPr="004C6C23">
              <w:t xml:space="preserve">Int J Epidemiol. 2022 Jun 13;51(3):830-838. doi: </w:t>
            </w:r>
            <w:r w:rsidRPr="00153573">
              <w:t>10.1093/ije/dyac031. PMID: 35244716; PMCID: PMC9189939.</w:t>
            </w:r>
          </w:p>
        </w:tc>
      </w:tr>
      <w:tr w:rsidR="001F4BC9" w:rsidRPr="00FE6CF6" w14:paraId="390137E3"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2DBCA774"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D752" w14:textId="57C7E9C4" w:rsidR="001F4BC9" w:rsidRPr="00153573" w:rsidRDefault="0024724A" w:rsidP="00153573">
            <w:pPr>
              <w:suppressAutoHyphens/>
              <w:spacing w:after="160" w:line="259" w:lineRule="auto"/>
              <w:jc w:val="both"/>
            </w:pPr>
            <w:r w:rsidRPr="00153573">
              <w:t xml:space="preserve">Rashidian H, Hadji M, Gholipour M, Naghibzadeh‐Tahami A, Marzban M, Mohebbi E, Safari‐Faramani R, Bakhshi M, </w:t>
            </w:r>
            <w:r w:rsidRPr="00153573">
              <w:rPr>
                <w:b/>
                <w:bCs/>
              </w:rPr>
              <w:t>Seyyedsalehi MS,</w:t>
            </w:r>
            <w:r w:rsidRPr="00153573">
              <w:t xml:space="preserve"> Hosseini B, Alizadeh‐Navaei R, Emami H, Haghdoost AA, Rezaianzadeh A, Moradi A, Ansari‐Moghaddam A, Nejatizadeh A, Shahid Sales M, Rezvani A,  Hasan Larizadeh M, Najafi F, Poustchi H, Mohagheghi MA, Brennan P, Weiderpass E, Schüz J, Pukkala E, Freedman ND, Boffetta P, Malekzadeh R, Etemadi A, Rahimi‐Movaghar A, Kamangar F, Zendehdel K. Opium Use and Risk of Lung Cancer: A Multi-center Case-Control Study in Iran. Int J Cancer Res 2022 (in press).</w:t>
            </w:r>
          </w:p>
        </w:tc>
      </w:tr>
      <w:tr w:rsidR="001F4BC9" w:rsidRPr="00FE6CF6" w14:paraId="6E000A91" w14:textId="77777777" w:rsidTr="009229F2">
        <w:trPr>
          <w:trHeight w:val="592"/>
        </w:trPr>
        <w:tc>
          <w:tcPr>
            <w:tcW w:w="3143" w:type="dxa"/>
            <w:gridSpan w:val="2"/>
            <w:vMerge/>
            <w:tcBorders>
              <w:left w:val="single" w:sz="4" w:space="0" w:color="auto"/>
              <w:right w:val="single" w:sz="4" w:space="0" w:color="auto"/>
            </w:tcBorders>
            <w:shd w:val="clear" w:color="auto" w:fill="auto"/>
            <w:vAlign w:val="center"/>
          </w:tcPr>
          <w:p w14:paraId="7EC9C3CC" w14:textId="77777777" w:rsidR="001F4BC9" w:rsidRPr="00472D5F" w:rsidRDefault="001F4BC9" w:rsidP="00945AFC">
            <w:pPr>
              <w:spacing w:before="60" w:after="60"/>
              <w:jc w:val="both"/>
              <w:rPr>
                <w:b/>
                <w:sz w:val="28"/>
                <w:szCs w:val="28"/>
              </w:rPr>
            </w:pPr>
          </w:p>
        </w:tc>
        <w:tc>
          <w:tcPr>
            <w:tcW w:w="6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95C20" w14:textId="77777777" w:rsidR="001F4BC9" w:rsidRPr="0021533C" w:rsidRDefault="001F4BC9" w:rsidP="00945AFC">
            <w:pPr>
              <w:spacing w:before="60" w:after="60"/>
              <w:jc w:val="both"/>
              <w:rPr>
                <w:sz w:val="28"/>
                <w:szCs w:val="28"/>
              </w:rPr>
            </w:pPr>
          </w:p>
        </w:tc>
      </w:tr>
    </w:tbl>
    <w:p w14:paraId="12A25FCE" w14:textId="77777777" w:rsidR="008F7FAD" w:rsidRDefault="008F7FAD"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6442"/>
      </w:tblGrid>
      <w:tr w:rsidR="00A231C4" w:rsidRPr="00FE6CF6" w14:paraId="0D31E12F" w14:textId="77777777" w:rsidTr="00D90C0A">
        <w:trPr>
          <w:trHeight w:val="594"/>
        </w:trPr>
        <w:tc>
          <w:tcPr>
            <w:tcW w:w="3227" w:type="dxa"/>
            <w:vMerge w:val="restart"/>
            <w:tcBorders>
              <w:top w:val="single" w:sz="4" w:space="0" w:color="auto"/>
              <w:left w:val="single" w:sz="4" w:space="0" w:color="auto"/>
              <w:right w:val="single" w:sz="4" w:space="0" w:color="auto"/>
            </w:tcBorders>
            <w:shd w:val="clear" w:color="auto" w:fill="auto"/>
            <w:vAlign w:val="center"/>
          </w:tcPr>
          <w:p w14:paraId="7A421083" w14:textId="77777777" w:rsidR="00A231C4" w:rsidRPr="00460601" w:rsidRDefault="00A231C4" w:rsidP="00D90C0A">
            <w:pPr>
              <w:spacing w:before="60" w:after="60"/>
              <w:jc w:val="both"/>
              <w:rPr>
                <w:b/>
                <w:sz w:val="28"/>
                <w:szCs w:val="28"/>
              </w:rPr>
            </w:pPr>
            <w:r w:rsidRPr="00460601">
              <w:rPr>
                <w:b/>
                <w:sz w:val="28"/>
                <w:szCs w:val="28"/>
              </w:rPr>
              <w:t>Commissione proposta</w:t>
            </w:r>
          </w:p>
          <w:p w14:paraId="53807803" w14:textId="77777777" w:rsidR="00A231C4" w:rsidRPr="00460601" w:rsidRDefault="00A231C4" w:rsidP="00D90C0A">
            <w:pPr>
              <w:spacing w:before="60" w:after="60"/>
              <w:jc w:val="both"/>
              <w:rPr>
                <w:sz w:val="28"/>
                <w:szCs w:val="28"/>
              </w:rPr>
            </w:pPr>
            <w:r w:rsidRPr="00460601">
              <w:rPr>
                <w:sz w:val="28"/>
                <w:szCs w:val="28"/>
              </w:rPr>
              <w:t xml:space="preserve">3 commissari + </w:t>
            </w:r>
          </w:p>
          <w:p w14:paraId="0288DFD6" w14:textId="77777777" w:rsidR="00A231C4" w:rsidRPr="00FE6CF6" w:rsidRDefault="00A231C4" w:rsidP="00D90C0A">
            <w:pPr>
              <w:spacing w:before="60" w:after="60"/>
              <w:jc w:val="both"/>
              <w:rPr>
                <w:sz w:val="28"/>
                <w:szCs w:val="28"/>
              </w:rPr>
            </w:pPr>
            <w:r w:rsidRPr="00460601">
              <w:rPr>
                <w:sz w:val="28"/>
                <w:szCs w:val="28"/>
              </w:rPr>
              <w:t>1 supplente</w:t>
            </w: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57FFD8ED" w14:textId="77777777" w:rsidR="00A231C4" w:rsidRPr="0021533C" w:rsidRDefault="00A231C4" w:rsidP="00D90C0A">
            <w:pPr>
              <w:spacing w:before="60" w:after="60"/>
              <w:jc w:val="both"/>
              <w:rPr>
                <w:sz w:val="28"/>
                <w:szCs w:val="28"/>
              </w:rPr>
            </w:pPr>
          </w:p>
        </w:tc>
      </w:tr>
      <w:tr w:rsidR="00A231C4" w:rsidRPr="00FE6CF6" w14:paraId="4941E423"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4D986D77"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BAC3A35" w14:textId="77777777" w:rsidR="00A231C4" w:rsidRPr="0021533C" w:rsidRDefault="00A231C4" w:rsidP="00D90C0A">
            <w:pPr>
              <w:spacing w:before="60" w:after="60"/>
              <w:jc w:val="both"/>
              <w:rPr>
                <w:sz w:val="28"/>
                <w:szCs w:val="28"/>
              </w:rPr>
            </w:pPr>
          </w:p>
        </w:tc>
      </w:tr>
      <w:tr w:rsidR="00A231C4" w:rsidRPr="00FE6CF6" w14:paraId="38452A05"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7FD9E74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658B9E4F" w14:textId="77777777" w:rsidR="00A231C4" w:rsidRPr="0021533C" w:rsidRDefault="00A231C4" w:rsidP="00D90C0A">
            <w:pPr>
              <w:spacing w:before="60" w:after="60"/>
              <w:jc w:val="both"/>
              <w:rPr>
                <w:sz w:val="28"/>
                <w:szCs w:val="28"/>
              </w:rPr>
            </w:pPr>
          </w:p>
        </w:tc>
      </w:tr>
      <w:tr w:rsidR="00A231C4" w:rsidRPr="00FE6CF6" w14:paraId="4E61F104" w14:textId="77777777" w:rsidTr="00D90C0A">
        <w:trPr>
          <w:trHeight w:val="592"/>
        </w:trPr>
        <w:tc>
          <w:tcPr>
            <w:tcW w:w="3227" w:type="dxa"/>
            <w:vMerge/>
            <w:tcBorders>
              <w:left w:val="single" w:sz="4" w:space="0" w:color="auto"/>
              <w:right w:val="single" w:sz="4" w:space="0" w:color="auto"/>
            </w:tcBorders>
            <w:shd w:val="clear" w:color="auto" w:fill="auto"/>
            <w:vAlign w:val="center"/>
          </w:tcPr>
          <w:p w14:paraId="5069DC2E" w14:textId="77777777" w:rsidR="00A231C4" w:rsidRPr="00472D5F" w:rsidRDefault="00A231C4" w:rsidP="00D90C0A">
            <w:pPr>
              <w:spacing w:before="60" w:after="60"/>
              <w:jc w:val="both"/>
              <w:rPr>
                <w:b/>
                <w:sz w:val="28"/>
                <w:szCs w:val="28"/>
              </w:rPr>
            </w:pPr>
          </w:p>
        </w:tc>
        <w:tc>
          <w:tcPr>
            <w:tcW w:w="6627" w:type="dxa"/>
            <w:tcBorders>
              <w:top w:val="single" w:sz="4" w:space="0" w:color="auto"/>
              <w:left w:val="single" w:sz="4" w:space="0" w:color="auto"/>
              <w:bottom w:val="single" w:sz="4" w:space="0" w:color="auto"/>
              <w:right w:val="single" w:sz="4" w:space="0" w:color="auto"/>
            </w:tcBorders>
            <w:shd w:val="clear" w:color="auto" w:fill="auto"/>
            <w:vAlign w:val="center"/>
          </w:tcPr>
          <w:p w14:paraId="0830ACCD" w14:textId="77777777" w:rsidR="00A231C4" w:rsidRPr="0021533C" w:rsidRDefault="00A231C4" w:rsidP="00D90C0A">
            <w:pPr>
              <w:spacing w:before="60" w:after="60"/>
              <w:jc w:val="both"/>
              <w:rPr>
                <w:sz w:val="28"/>
                <w:szCs w:val="28"/>
              </w:rPr>
            </w:pPr>
          </w:p>
        </w:tc>
      </w:tr>
    </w:tbl>
    <w:p w14:paraId="1E67F74E" w14:textId="77777777" w:rsidR="00A231C4" w:rsidRDefault="00A231C4" w:rsidP="008F7FAD">
      <w:pPr>
        <w:jc w:val="both"/>
        <w:rPr>
          <w:b/>
          <w:sz w:val="16"/>
          <w:szCs w:val="16"/>
        </w:rPr>
      </w:pPr>
    </w:p>
    <w:p w14:paraId="15871E71" w14:textId="77777777" w:rsidR="00A231C4" w:rsidRDefault="00A231C4" w:rsidP="008F7FAD">
      <w:pPr>
        <w:jc w:val="both"/>
        <w:rPr>
          <w:b/>
          <w:sz w:val="16"/>
          <w:szCs w:val="16"/>
        </w:rPr>
      </w:pPr>
    </w:p>
    <w:p w14:paraId="7BA783E1" w14:textId="77777777" w:rsidR="00A231C4" w:rsidRPr="00EC0BC6" w:rsidRDefault="00A231C4" w:rsidP="008F7FAD">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631"/>
        <w:gridCol w:w="763"/>
        <w:gridCol w:w="65"/>
        <w:gridCol w:w="845"/>
        <w:gridCol w:w="1488"/>
      </w:tblGrid>
      <w:tr w:rsidR="008F7FAD" w:rsidRPr="00F70053" w14:paraId="66D5C4A6" w14:textId="77777777" w:rsidTr="00945AFC">
        <w:tc>
          <w:tcPr>
            <w:tcW w:w="9854" w:type="dxa"/>
            <w:gridSpan w:val="6"/>
            <w:shd w:val="clear" w:color="auto" w:fill="auto"/>
            <w:vAlign w:val="center"/>
          </w:tcPr>
          <w:p w14:paraId="647B3CBB" w14:textId="77777777" w:rsidR="008F7FAD" w:rsidRPr="00D34E85" w:rsidRDefault="008F7FAD" w:rsidP="00945AFC">
            <w:pPr>
              <w:spacing w:before="60" w:after="60"/>
              <w:jc w:val="both"/>
              <w:rPr>
                <w:b/>
                <w:sz w:val="28"/>
                <w:szCs w:val="28"/>
              </w:rPr>
            </w:pPr>
            <w:r w:rsidRPr="00D34E85">
              <w:rPr>
                <w:b/>
                <w:sz w:val="28"/>
                <w:szCs w:val="28"/>
              </w:rPr>
              <w:t>TITOLO DEL PROGETTO</w:t>
            </w:r>
          </w:p>
        </w:tc>
      </w:tr>
      <w:tr w:rsidR="008F7FAD" w:rsidRPr="00697B94" w14:paraId="5D74ED09" w14:textId="77777777" w:rsidTr="00945AFC">
        <w:tc>
          <w:tcPr>
            <w:tcW w:w="9854" w:type="dxa"/>
            <w:gridSpan w:val="6"/>
            <w:shd w:val="clear" w:color="auto" w:fill="auto"/>
          </w:tcPr>
          <w:p w14:paraId="31E5F1AB" w14:textId="376EA3E8" w:rsidR="008F7FAD" w:rsidRPr="00601AA0" w:rsidRDefault="00697B94" w:rsidP="00945AFC">
            <w:pPr>
              <w:spacing w:before="60" w:after="60"/>
              <w:jc w:val="both"/>
              <w:rPr>
                <w:sz w:val="28"/>
                <w:szCs w:val="28"/>
                <w:lang w:val="en-US"/>
              </w:rPr>
            </w:pPr>
            <w:r>
              <w:rPr>
                <w:sz w:val="28"/>
                <w:szCs w:val="28"/>
                <w:lang w:val="en-US"/>
              </w:rPr>
              <w:t>Waterpipe use and cancer risk</w:t>
            </w:r>
          </w:p>
        </w:tc>
      </w:tr>
      <w:tr w:rsidR="008F7FAD" w:rsidRPr="00F70053" w14:paraId="2DAAE0D4" w14:textId="77777777" w:rsidTr="00945AFC">
        <w:tc>
          <w:tcPr>
            <w:tcW w:w="4927" w:type="dxa"/>
            <w:shd w:val="clear" w:color="auto" w:fill="auto"/>
            <w:vAlign w:val="center"/>
          </w:tcPr>
          <w:p w14:paraId="69B649C9" w14:textId="77777777" w:rsidR="008F7FAD" w:rsidRDefault="008F7FAD" w:rsidP="00945AFC">
            <w:pPr>
              <w:spacing w:before="60" w:after="60"/>
              <w:jc w:val="both"/>
              <w:rPr>
                <w:sz w:val="21"/>
                <w:szCs w:val="21"/>
              </w:rPr>
            </w:pPr>
            <w:r>
              <w:rPr>
                <w:sz w:val="21"/>
                <w:szCs w:val="21"/>
              </w:rPr>
              <w:t>ASSEGNO FINANZIATO DA PROGETTO COMPETITIVO</w:t>
            </w:r>
          </w:p>
          <w:p w14:paraId="113983DB" w14:textId="77777777" w:rsidR="008F7FAD" w:rsidRPr="00F70053" w:rsidRDefault="008F7FAD" w:rsidP="00945AFC">
            <w:pPr>
              <w:spacing w:before="60" w:after="60"/>
              <w:jc w:val="both"/>
              <w:rPr>
                <w:sz w:val="28"/>
                <w:szCs w:val="28"/>
              </w:rPr>
            </w:pPr>
            <w:r>
              <w:rPr>
                <w:i/>
                <w:sz w:val="20"/>
                <w:szCs w:val="20"/>
              </w:rPr>
              <w:lastRenderedPageBreak/>
              <w:t>(barrare la casella corrispondente)</w:t>
            </w:r>
          </w:p>
        </w:tc>
        <w:tc>
          <w:tcPr>
            <w:tcW w:w="1680" w:type="dxa"/>
            <w:shd w:val="clear" w:color="auto" w:fill="auto"/>
            <w:vAlign w:val="center"/>
          </w:tcPr>
          <w:p w14:paraId="6684283F" w14:textId="27B5676C" w:rsidR="008F7FAD" w:rsidRPr="00F70053" w:rsidRDefault="00697B94" w:rsidP="00945AFC">
            <w:pPr>
              <w:spacing w:before="60" w:after="60"/>
              <w:jc w:val="center"/>
              <w:rPr>
                <w:sz w:val="28"/>
                <w:szCs w:val="28"/>
              </w:rPr>
            </w:pPr>
            <w:r>
              <w:rPr>
                <w:sz w:val="44"/>
                <w:szCs w:val="28"/>
              </w:rPr>
              <w:lastRenderedPageBreak/>
              <w:t>X</w:t>
            </w:r>
            <w:r w:rsidR="008F7FAD">
              <w:rPr>
                <w:sz w:val="44"/>
                <w:szCs w:val="28"/>
              </w:rPr>
              <w:t xml:space="preserve"> </w:t>
            </w:r>
            <w:r w:rsidR="008F7FAD">
              <w:rPr>
                <w:sz w:val="28"/>
                <w:szCs w:val="28"/>
              </w:rPr>
              <w:t>SI</w:t>
            </w:r>
          </w:p>
        </w:tc>
        <w:tc>
          <w:tcPr>
            <w:tcW w:w="1723" w:type="dxa"/>
            <w:gridSpan w:val="3"/>
            <w:shd w:val="clear" w:color="auto" w:fill="auto"/>
            <w:vAlign w:val="center"/>
          </w:tcPr>
          <w:p w14:paraId="7708E1DC"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NO</w:t>
            </w:r>
          </w:p>
        </w:tc>
        <w:tc>
          <w:tcPr>
            <w:tcW w:w="1524" w:type="dxa"/>
            <w:shd w:val="pct10" w:color="FFFF00" w:fill="auto"/>
            <w:vAlign w:val="center"/>
          </w:tcPr>
          <w:p w14:paraId="2ACDA11F" w14:textId="77777777" w:rsidR="008F7FAD" w:rsidRPr="002E1FF5" w:rsidRDefault="008F7FAD" w:rsidP="00945AFC">
            <w:pPr>
              <w:spacing w:before="60" w:after="60"/>
              <w:jc w:val="both"/>
              <w:rPr>
                <w:b/>
                <w:sz w:val="28"/>
                <w:szCs w:val="28"/>
              </w:rPr>
            </w:pPr>
            <w:r w:rsidRPr="00D52083">
              <w:rPr>
                <w:i/>
              </w:rPr>
              <w:t>Punti</w:t>
            </w:r>
          </w:p>
        </w:tc>
      </w:tr>
      <w:tr w:rsidR="008F7FAD" w:rsidRPr="00F70053" w14:paraId="20646E4E" w14:textId="77777777" w:rsidTr="00945AFC">
        <w:tc>
          <w:tcPr>
            <w:tcW w:w="4927" w:type="dxa"/>
            <w:shd w:val="clear" w:color="auto" w:fill="auto"/>
            <w:vAlign w:val="center"/>
          </w:tcPr>
          <w:p w14:paraId="0F7FF232" w14:textId="77777777" w:rsidR="008F7FAD" w:rsidRPr="00F70053" w:rsidRDefault="008F7FAD" w:rsidP="00945AFC">
            <w:pPr>
              <w:spacing w:before="60" w:after="60"/>
              <w:rPr>
                <w:sz w:val="28"/>
                <w:szCs w:val="28"/>
              </w:rPr>
            </w:pPr>
            <w:r>
              <w:rPr>
                <w:sz w:val="21"/>
                <w:szCs w:val="21"/>
              </w:rPr>
              <w:t xml:space="preserve">SE IL FINANZIAMENTO È COMPETITIVO L’ENTE FINANZIATORE </w:t>
            </w:r>
          </w:p>
        </w:tc>
        <w:tc>
          <w:tcPr>
            <w:tcW w:w="4927" w:type="dxa"/>
            <w:gridSpan w:val="5"/>
            <w:shd w:val="clear" w:color="auto" w:fill="auto"/>
            <w:vAlign w:val="center"/>
          </w:tcPr>
          <w:p w14:paraId="3A7B1F16" w14:textId="220F0A39" w:rsidR="008F7FAD" w:rsidRPr="00F70053" w:rsidRDefault="004C6C23" w:rsidP="00945AFC">
            <w:pPr>
              <w:spacing w:before="60" w:after="60"/>
              <w:jc w:val="both"/>
              <w:rPr>
                <w:sz w:val="28"/>
                <w:szCs w:val="28"/>
              </w:rPr>
            </w:pPr>
            <w:r>
              <w:rPr>
                <w:sz w:val="28"/>
                <w:szCs w:val="28"/>
              </w:rPr>
              <w:t>AIRC - Associazione Italiana Ricerca sul Cancro</w:t>
            </w:r>
          </w:p>
        </w:tc>
      </w:tr>
      <w:tr w:rsidR="008F7FAD" w:rsidRPr="00F70053" w14:paraId="123C825F" w14:textId="77777777" w:rsidTr="00945AFC">
        <w:tc>
          <w:tcPr>
            <w:tcW w:w="4927" w:type="dxa"/>
            <w:shd w:val="clear" w:color="auto" w:fill="auto"/>
            <w:vAlign w:val="center"/>
          </w:tcPr>
          <w:p w14:paraId="47E85B9C" w14:textId="77777777" w:rsidR="008F7FAD" w:rsidRDefault="008F7FAD" w:rsidP="00945AFC">
            <w:pPr>
              <w:spacing w:before="60" w:after="60"/>
              <w:rPr>
                <w:sz w:val="21"/>
                <w:szCs w:val="21"/>
              </w:rPr>
            </w:pPr>
            <w:r>
              <w:rPr>
                <w:sz w:val="21"/>
                <w:szCs w:val="21"/>
              </w:rPr>
              <w:t>PROGETTO/ATTIVITÀ A SCOPO COMMERCIALE</w:t>
            </w:r>
          </w:p>
          <w:p w14:paraId="380F4F22" w14:textId="77777777" w:rsidR="008F7FAD" w:rsidRPr="005918FB" w:rsidRDefault="008F7FAD" w:rsidP="00945AFC">
            <w:pPr>
              <w:spacing w:before="60" w:after="60"/>
              <w:rPr>
                <w:i/>
                <w:sz w:val="21"/>
                <w:szCs w:val="21"/>
              </w:rPr>
            </w:pPr>
            <w:r w:rsidRPr="005918FB">
              <w:rPr>
                <w:i/>
                <w:sz w:val="21"/>
                <w:szCs w:val="21"/>
              </w:rPr>
              <w:t>(es. sperimentazione profit)</w:t>
            </w:r>
          </w:p>
        </w:tc>
        <w:tc>
          <w:tcPr>
            <w:tcW w:w="2463" w:type="dxa"/>
            <w:gridSpan w:val="2"/>
            <w:shd w:val="clear" w:color="auto" w:fill="auto"/>
            <w:vAlign w:val="center"/>
          </w:tcPr>
          <w:p w14:paraId="3E5B8E90"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SI</w:t>
            </w:r>
          </w:p>
        </w:tc>
        <w:tc>
          <w:tcPr>
            <w:tcW w:w="2464" w:type="dxa"/>
            <w:gridSpan w:val="3"/>
            <w:shd w:val="clear" w:color="auto" w:fill="auto"/>
            <w:vAlign w:val="center"/>
          </w:tcPr>
          <w:p w14:paraId="59790187" w14:textId="3400F5E4" w:rsidR="008F7FAD" w:rsidRPr="00F70053" w:rsidRDefault="00697B94" w:rsidP="00945AFC">
            <w:pPr>
              <w:spacing w:before="60" w:after="60"/>
              <w:jc w:val="center"/>
              <w:rPr>
                <w:sz w:val="28"/>
                <w:szCs w:val="28"/>
              </w:rPr>
            </w:pPr>
            <w:r>
              <w:rPr>
                <w:sz w:val="44"/>
                <w:szCs w:val="28"/>
              </w:rPr>
              <w:t>X</w:t>
            </w:r>
            <w:r w:rsidR="008F7FAD">
              <w:rPr>
                <w:sz w:val="44"/>
                <w:szCs w:val="28"/>
              </w:rPr>
              <w:t xml:space="preserve"> </w:t>
            </w:r>
            <w:r w:rsidR="008F7FAD">
              <w:rPr>
                <w:sz w:val="28"/>
                <w:szCs w:val="28"/>
              </w:rPr>
              <w:t>NO</w:t>
            </w:r>
          </w:p>
        </w:tc>
      </w:tr>
      <w:tr w:rsidR="008F7FAD" w:rsidRPr="00F70053" w14:paraId="352EF1A0" w14:textId="77777777" w:rsidTr="00945AFC">
        <w:tc>
          <w:tcPr>
            <w:tcW w:w="4927" w:type="dxa"/>
            <w:shd w:val="clear" w:color="auto" w:fill="auto"/>
            <w:vAlign w:val="center"/>
          </w:tcPr>
          <w:p w14:paraId="36622053" w14:textId="77777777" w:rsidR="008F7FAD" w:rsidRPr="00F70053" w:rsidRDefault="008F7FAD" w:rsidP="00945AFC">
            <w:pPr>
              <w:spacing w:before="60" w:after="60"/>
              <w:jc w:val="both"/>
              <w:rPr>
                <w:sz w:val="28"/>
                <w:szCs w:val="28"/>
              </w:rPr>
            </w:pPr>
            <w:r w:rsidRPr="002140C4">
              <w:rPr>
                <w:sz w:val="21"/>
                <w:szCs w:val="21"/>
              </w:rPr>
              <w:t>CARATTERISTICHE DEL PROGETTO</w:t>
            </w:r>
            <w:r>
              <w:rPr>
                <w:sz w:val="21"/>
                <w:szCs w:val="21"/>
              </w:rPr>
              <w:t xml:space="preserve"> (</w:t>
            </w:r>
            <w:r w:rsidRPr="002E1FF5">
              <w:rPr>
                <w:i/>
                <w:sz w:val="21"/>
                <w:szCs w:val="21"/>
              </w:rPr>
              <w:t>biomedico/osservazionale/clinico-interventistico/multidisciplinare</w:t>
            </w:r>
            <w:r>
              <w:rPr>
                <w:sz w:val="21"/>
                <w:szCs w:val="21"/>
              </w:rPr>
              <w:t>)</w:t>
            </w:r>
          </w:p>
        </w:tc>
        <w:tc>
          <w:tcPr>
            <w:tcW w:w="4927" w:type="dxa"/>
            <w:gridSpan w:val="5"/>
            <w:shd w:val="clear" w:color="auto" w:fill="auto"/>
            <w:vAlign w:val="center"/>
          </w:tcPr>
          <w:p w14:paraId="6D7ED143" w14:textId="29D78F02" w:rsidR="008F7FAD" w:rsidRPr="00F70053" w:rsidRDefault="004C6C23" w:rsidP="00945AFC">
            <w:pPr>
              <w:spacing w:before="60" w:after="60"/>
              <w:jc w:val="both"/>
              <w:rPr>
                <w:sz w:val="28"/>
                <w:szCs w:val="28"/>
              </w:rPr>
            </w:pPr>
            <w:r>
              <w:rPr>
                <w:sz w:val="28"/>
                <w:szCs w:val="28"/>
              </w:rPr>
              <w:t>Osservazionale</w:t>
            </w:r>
          </w:p>
        </w:tc>
      </w:tr>
      <w:tr w:rsidR="008F7FAD" w:rsidRPr="00F70053" w14:paraId="2482DE08" w14:textId="77777777" w:rsidTr="00945AFC">
        <w:tc>
          <w:tcPr>
            <w:tcW w:w="4927" w:type="dxa"/>
            <w:shd w:val="clear" w:color="auto" w:fill="auto"/>
            <w:vAlign w:val="center"/>
          </w:tcPr>
          <w:p w14:paraId="64F84B62" w14:textId="77777777" w:rsidR="008F7FAD" w:rsidRPr="002140C4" w:rsidRDefault="008F7FAD" w:rsidP="00945AFC">
            <w:pPr>
              <w:spacing w:before="60" w:after="60"/>
              <w:jc w:val="both"/>
              <w:rPr>
                <w:sz w:val="21"/>
                <w:szCs w:val="21"/>
              </w:rPr>
            </w:pPr>
            <w:r>
              <w:rPr>
                <w:sz w:val="21"/>
                <w:szCs w:val="21"/>
              </w:rPr>
              <w:t>STATO DI APPROVAZIONE DEL PROGETTO DA PARTE DEL COMITATO ETICO (</w:t>
            </w:r>
            <w:r w:rsidRPr="002140C4">
              <w:rPr>
                <w:i/>
                <w:sz w:val="21"/>
                <w:szCs w:val="21"/>
              </w:rPr>
              <w:t>se necessario per il tipo di studio</w:t>
            </w:r>
            <w:r>
              <w:rPr>
                <w:i/>
                <w:sz w:val="21"/>
                <w:szCs w:val="21"/>
              </w:rPr>
              <w:t xml:space="preserve"> barrare o evidenziare la casella corrispondente</w:t>
            </w:r>
            <w:r>
              <w:rPr>
                <w:sz w:val="21"/>
                <w:szCs w:val="21"/>
              </w:rPr>
              <w:t>)</w:t>
            </w:r>
          </w:p>
        </w:tc>
        <w:tc>
          <w:tcPr>
            <w:tcW w:w="2528" w:type="dxa"/>
            <w:gridSpan w:val="3"/>
            <w:shd w:val="clear" w:color="auto" w:fill="auto"/>
            <w:vAlign w:val="center"/>
          </w:tcPr>
          <w:p w14:paraId="2470DAA6" w14:textId="5FB4A22D" w:rsidR="008F7FAD" w:rsidRPr="00F70053" w:rsidRDefault="004C6C23" w:rsidP="00945AFC">
            <w:pPr>
              <w:spacing w:before="60" w:after="60"/>
              <w:jc w:val="center"/>
              <w:rPr>
                <w:sz w:val="28"/>
                <w:szCs w:val="28"/>
              </w:rPr>
            </w:pPr>
            <w:r>
              <w:rPr>
                <w:sz w:val="44"/>
                <w:szCs w:val="28"/>
              </w:rPr>
              <w:t>X</w:t>
            </w:r>
            <w:r w:rsidR="008F7FAD">
              <w:rPr>
                <w:sz w:val="28"/>
                <w:szCs w:val="28"/>
              </w:rPr>
              <w:t xml:space="preserve"> Ottenuto</w:t>
            </w:r>
          </w:p>
        </w:tc>
        <w:tc>
          <w:tcPr>
            <w:tcW w:w="2399" w:type="dxa"/>
            <w:gridSpan w:val="2"/>
            <w:shd w:val="clear" w:color="auto" w:fill="auto"/>
            <w:vAlign w:val="center"/>
          </w:tcPr>
          <w:p w14:paraId="1880E94D" w14:textId="77777777" w:rsidR="008F7FAD" w:rsidRPr="00F70053" w:rsidRDefault="008F7FAD" w:rsidP="00945AFC">
            <w:pPr>
              <w:spacing w:before="60" w:after="60"/>
              <w:jc w:val="center"/>
              <w:rPr>
                <w:sz w:val="28"/>
                <w:szCs w:val="28"/>
              </w:rPr>
            </w:pPr>
            <w:r w:rsidRPr="005918FB">
              <w:rPr>
                <w:sz w:val="44"/>
                <w:szCs w:val="28"/>
              </w:rPr>
              <w:t>□</w:t>
            </w:r>
            <w:r>
              <w:rPr>
                <w:sz w:val="44"/>
                <w:szCs w:val="28"/>
              </w:rPr>
              <w:t xml:space="preserve"> </w:t>
            </w:r>
            <w:r>
              <w:rPr>
                <w:sz w:val="28"/>
                <w:szCs w:val="28"/>
              </w:rPr>
              <w:t>Da ottenere</w:t>
            </w:r>
          </w:p>
        </w:tc>
      </w:tr>
      <w:tr w:rsidR="008F7FAD" w:rsidRPr="002E1FF5" w14:paraId="13D803E3" w14:textId="77777777" w:rsidTr="00945AFC">
        <w:tc>
          <w:tcPr>
            <w:tcW w:w="8330" w:type="dxa"/>
            <w:gridSpan w:val="5"/>
            <w:shd w:val="clear" w:color="auto" w:fill="auto"/>
            <w:vAlign w:val="center"/>
          </w:tcPr>
          <w:p w14:paraId="4B8C8F14" w14:textId="77777777" w:rsidR="008F7FAD" w:rsidRPr="002E1FF5" w:rsidRDefault="008F7FAD" w:rsidP="00945AFC">
            <w:pPr>
              <w:spacing w:before="60" w:after="60"/>
              <w:jc w:val="both"/>
              <w:rPr>
                <w:b/>
                <w:sz w:val="28"/>
                <w:szCs w:val="28"/>
              </w:rPr>
            </w:pPr>
            <w:r>
              <w:rPr>
                <w:b/>
                <w:sz w:val="28"/>
                <w:szCs w:val="28"/>
              </w:rPr>
              <w:t>DESCRIZIONE</w:t>
            </w:r>
            <w:r w:rsidRPr="00D34E85">
              <w:rPr>
                <w:b/>
                <w:sz w:val="28"/>
                <w:szCs w:val="28"/>
              </w:rPr>
              <w:t xml:space="preserve"> DEL PROGETTO</w:t>
            </w:r>
            <w:r w:rsidRPr="00F70053">
              <w:rPr>
                <w:sz w:val="28"/>
                <w:szCs w:val="28"/>
              </w:rPr>
              <w:t xml:space="preserve"> </w:t>
            </w:r>
            <w:r w:rsidRPr="00F70053">
              <w:rPr>
                <w:i/>
                <w:sz w:val="20"/>
                <w:szCs w:val="20"/>
              </w:rPr>
              <w:t>(</w:t>
            </w:r>
            <w:r w:rsidRPr="004C6C23">
              <w:rPr>
                <w:i/>
                <w:color w:val="FF0000"/>
                <w:sz w:val="20"/>
                <w:szCs w:val="20"/>
              </w:rPr>
              <w:t>max 800 parole</w:t>
            </w:r>
            <w:r w:rsidRPr="00F70053">
              <w:rPr>
                <w:i/>
                <w:sz w:val="20"/>
                <w:szCs w:val="20"/>
              </w:rPr>
              <w:t>)</w:t>
            </w:r>
          </w:p>
        </w:tc>
        <w:tc>
          <w:tcPr>
            <w:tcW w:w="1524" w:type="dxa"/>
            <w:shd w:val="pct10" w:color="FFFF00" w:fill="auto"/>
            <w:vAlign w:val="center"/>
          </w:tcPr>
          <w:p w14:paraId="6A59D89E" w14:textId="77777777" w:rsidR="008F7FAD" w:rsidRPr="002E1FF5" w:rsidRDefault="008F7FAD" w:rsidP="00945AFC">
            <w:pPr>
              <w:spacing w:before="60" w:after="60"/>
              <w:jc w:val="both"/>
              <w:rPr>
                <w:b/>
                <w:sz w:val="28"/>
                <w:szCs w:val="28"/>
              </w:rPr>
            </w:pPr>
            <w:r w:rsidRPr="00D52083">
              <w:rPr>
                <w:i/>
              </w:rPr>
              <w:t>Punti</w:t>
            </w:r>
          </w:p>
        </w:tc>
      </w:tr>
      <w:tr w:rsidR="008F7FAD" w:rsidRPr="00697B94" w14:paraId="1C1182E8" w14:textId="77777777" w:rsidTr="00945AFC">
        <w:trPr>
          <w:trHeight w:val="4178"/>
        </w:trPr>
        <w:tc>
          <w:tcPr>
            <w:tcW w:w="9854" w:type="dxa"/>
            <w:gridSpan w:val="6"/>
            <w:shd w:val="clear" w:color="auto" w:fill="auto"/>
          </w:tcPr>
          <w:p w14:paraId="6119D0D0" w14:textId="37A4A8DE" w:rsidR="008F7FAD" w:rsidRPr="00DB1934" w:rsidRDefault="008F7FAD" w:rsidP="00945AFC">
            <w:pPr>
              <w:pStyle w:val="NormalWeb"/>
              <w:spacing w:before="0" w:beforeAutospacing="0" w:after="120" w:afterAutospacing="0"/>
              <w:jc w:val="both"/>
              <w:rPr>
                <w:b/>
                <w:sz w:val="21"/>
                <w:szCs w:val="21"/>
              </w:rPr>
            </w:pPr>
            <w:r w:rsidRPr="00DB1934">
              <w:rPr>
                <w:b/>
                <w:sz w:val="21"/>
                <w:szCs w:val="21"/>
              </w:rPr>
              <w:t>Stato dell’Arte e Razionale</w:t>
            </w:r>
          </w:p>
          <w:p w14:paraId="7C1FFA8A" w14:textId="4774FAC6" w:rsidR="0001010E" w:rsidRPr="0001010E" w:rsidRDefault="0001010E" w:rsidP="007257C2">
            <w:pPr>
              <w:spacing w:line="360" w:lineRule="auto"/>
              <w:jc w:val="both"/>
              <w:rPr>
                <w:rFonts w:eastAsia="Calibri"/>
                <w:sz w:val="22"/>
                <w:szCs w:val="22"/>
                <w:lang w:val="en-US" w:eastAsia="en-US"/>
              </w:rPr>
            </w:pPr>
            <w:r w:rsidRPr="0001010E">
              <w:rPr>
                <w:rFonts w:eastAsia="Calibri"/>
                <w:sz w:val="22"/>
                <w:szCs w:val="22"/>
                <w:lang w:val="en-US" w:eastAsia="en-US"/>
              </w:rPr>
              <w:t xml:space="preserve">Hookah, also called waterpipe, is a smoking tobacco product that has been traditionally used in many </w:t>
            </w:r>
            <w:r w:rsidR="00A03277" w:rsidRPr="00320801">
              <w:rPr>
                <w:rFonts w:eastAsia="Calibri"/>
                <w:sz w:val="22"/>
                <w:szCs w:val="22"/>
                <w:lang w:val="en-US" w:eastAsia="en-US"/>
              </w:rPr>
              <w:t>cultures and</w:t>
            </w:r>
            <w:r w:rsidRPr="0001010E">
              <w:rPr>
                <w:rFonts w:eastAsia="Calibri"/>
                <w:sz w:val="22"/>
                <w:szCs w:val="22"/>
                <w:lang w:val="en-US" w:eastAsia="en-US"/>
              </w:rPr>
              <w:t xml:space="preserve"> is becoming increasingly common in Italy and other high-income constituencies. Despite its importance as potential cause of cancer and other chronic diseases, limited data are available in the literature on the detailed aspects of the health effects of hookah smoking, and on biomarkers that underlie such effects, and could be used for personalized risk assessment. In the proposed research, we will conduct an analysis of unprecedented depth of the relationship between hookah smoking and cancer risk</w:t>
            </w:r>
            <w:r w:rsidR="00A03277" w:rsidRPr="00320801">
              <w:rPr>
                <w:rFonts w:eastAsia="Calibri"/>
                <w:sz w:val="22"/>
                <w:szCs w:val="22"/>
                <w:lang w:val="en-US" w:eastAsia="en-US"/>
              </w:rPr>
              <w:t xml:space="preserve">. </w:t>
            </w:r>
            <w:r w:rsidRPr="0001010E">
              <w:rPr>
                <w:rFonts w:eastAsia="Calibri"/>
                <w:sz w:val="22"/>
                <w:szCs w:val="22"/>
                <w:lang w:val="en-US" w:eastAsia="en-US"/>
              </w:rPr>
              <w:t>The results of the proposed analysis will provide very strong evidence in favor or against the hypothesis of a higher risk of cancer, and a higher level of tobacco-related</w:t>
            </w:r>
            <w:r w:rsidR="00A03277" w:rsidRPr="00320801">
              <w:rPr>
                <w:rFonts w:eastAsia="Calibri"/>
                <w:sz w:val="22"/>
                <w:szCs w:val="22"/>
                <w:lang w:val="en-US" w:eastAsia="en-US"/>
              </w:rPr>
              <w:t xml:space="preserve"> </w:t>
            </w:r>
            <w:r w:rsidRPr="0001010E">
              <w:rPr>
                <w:rFonts w:eastAsia="Calibri"/>
                <w:sz w:val="22"/>
                <w:szCs w:val="22"/>
                <w:lang w:val="en-US" w:eastAsia="en-US"/>
              </w:rPr>
              <w:t xml:space="preserve">in hookah smokers compared to non-tobacco users and cigarette </w:t>
            </w:r>
            <w:r w:rsidR="007257C2" w:rsidRPr="0001010E">
              <w:rPr>
                <w:rFonts w:eastAsia="Calibri"/>
                <w:sz w:val="22"/>
                <w:szCs w:val="22"/>
                <w:lang w:val="en-US" w:eastAsia="en-US"/>
              </w:rPr>
              <w:t>smokers. Since</w:t>
            </w:r>
            <w:r w:rsidRPr="0001010E">
              <w:rPr>
                <w:rFonts w:eastAsia="Calibri"/>
                <w:sz w:val="22"/>
                <w:szCs w:val="22"/>
                <w:lang w:val="en-US" w:eastAsia="en-US"/>
              </w:rPr>
              <w:t xml:space="preserve"> the toxicity of hookah smoking might exceed that of cigarettes, strong data on carcinogenicity of hookah smoking in humans are needed to support evidence-based regulatory decisions, which would be relevant to tobacco control in general</w:t>
            </w:r>
            <w:r w:rsidR="00A03277" w:rsidRPr="00320801">
              <w:rPr>
                <w:rFonts w:eastAsia="Calibri"/>
                <w:sz w:val="22"/>
                <w:szCs w:val="22"/>
                <w:lang w:val="en-US" w:eastAsia="en-US"/>
              </w:rPr>
              <w:t>.</w:t>
            </w:r>
            <w:r w:rsidRPr="0001010E">
              <w:rPr>
                <w:rFonts w:eastAsia="Calibri"/>
                <w:sz w:val="22"/>
                <w:szCs w:val="22"/>
                <w:lang w:val="en-US" w:eastAsia="en-US"/>
              </w:rPr>
              <w:t xml:space="preserve"> </w:t>
            </w:r>
          </w:p>
          <w:p w14:paraId="3413196A" w14:textId="1EE789AB" w:rsidR="00DC5A64" w:rsidRPr="00697B94" w:rsidRDefault="00320801" w:rsidP="007257C2">
            <w:pPr>
              <w:pStyle w:val="NormalWeb"/>
              <w:spacing w:before="0" w:beforeAutospacing="0" w:after="120" w:afterAutospacing="0" w:line="360" w:lineRule="auto"/>
              <w:jc w:val="both"/>
              <w:rPr>
                <w:bCs/>
                <w:sz w:val="22"/>
                <w:szCs w:val="22"/>
                <w:lang w:val="en-US"/>
              </w:rPr>
            </w:pPr>
            <w:r w:rsidRPr="00697B94">
              <w:rPr>
                <w:bCs/>
                <w:sz w:val="22"/>
                <w:szCs w:val="22"/>
                <w:lang w:val="en-US"/>
              </w:rPr>
              <w:t>Historically, hookah smoking has been prevalent in North Africa and West and Central Asia, and a small number of studies have been published on health outcomes of hookah smoking from these regions. Hookah smoke contains many toxic compounds found in cigarette smoke, and hookah smokers appear to be exposed to the same agents as cigarette smokers, probably at higher levels: each puff from hookah has been reported to deliver 12-times as much smoke as a single cigarette puff.</w:t>
            </w:r>
            <w:r w:rsidR="0057107E" w:rsidRPr="00697B94">
              <w:rPr>
                <w:bCs/>
                <w:sz w:val="22"/>
                <w:szCs w:val="22"/>
                <w:lang w:val="en-US"/>
              </w:rPr>
              <w:t xml:space="preserve"> </w:t>
            </w:r>
            <w:r w:rsidR="00DC5A64" w:rsidRPr="00697B94">
              <w:rPr>
                <w:bCs/>
                <w:sz w:val="22"/>
                <w:szCs w:val="22"/>
                <w:lang w:val="en-US"/>
              </w:rPr>
              <w:t xml:space="preserve">Some data suggest that hookah smoking may increase the risk of spreading infectious diseases, such as tuberculosis, </w:t>
            </w:r>
            <w:proofErr w:type="gramStart"/>
            <w:r w:rsidR="00DC5A64" w:rsidRPr="00697B94">
              <w:rPr>
                <w:bCs/>
                <w:sz w:val="22"/>
                <w:szCs w:val="22"/>
                <w:lang w:val="en-US"/>
              </w:rPr>
              <w:t>hepatitis</w:t>
            </w:r>
            <w:proofErr w:type="gramEnd"/>
            <w:r w:rsidR="00DC5A64" w:rsidRPr="00697B94">
              <w:rPr>
                <w:bCs/>
                <w:sz w:val="22"/>
                <w:szCs w:val="22"/>
                <w:lang w:val="en-US"/>
              </w:rPr>
              <w:t xml:space="preserve"> and herpes. Associations between hookah smoking and cancers of the head and neck, esophagus, </w:t>
            </w:r>
            <w:proofErr w:type="gramStart"/>
            <w:r w:rsidR="00DC5A64" w:rsidRPr="00697B94">
              <w:rPr>
                <w:bCs/>
                <w:sz w:val="22"/>
                <w:szCs w:val="22"/>
                <w:lang w:val="en-US"/>
              </w:rPr>
              <w:t>lung</w:t>
            </w:r>
            <w:proofErr w:type="gramEnd"/>
            <w:r w:rsidR="00DC5A64" w:rsidRPr="00697B94">
              <w:rPr>
                <w:bCs/>
                <w:sz w:val="22"/>
                <w:szCs w:val="22"/>
                <w:lang w:val="en-US"/>
              </w:rPr>
              <w:t xml:space="preserve"> and bladder cancer have been reported in a few studies: the results are stronger for esophageal cancer. In general, however, most of previous studies suffer from limitations including (</w:t>
            </w:r>
            <w:proofErr w:type="spellStart"/>
            <w:r w:rsidR="00DC5A64" w:rsidRPr="00697B94">
              <w:rPr>
                <w:bCs/>
                <w:sz w:val="22"/>
                <w:szCs w:val="22"/>
                <w:lang w:val="en-US"/>
              </w:rPr>
              <w:t>i</w:t>
            </w:r>
            <w:proofErr w:type="spellEnd"/>
            <w:r w:rsidR="00DC5A64" w:rsidRPr="00697B94">
              <w:rPr>
                <w:bCs/>
                <w:sz w:val="22"/>
                <w:szCs w:val="22"/>
                <w:lang w:val="en-US"/>
              </w:rPr>
              <w:t xml:space="preserve">) suboptimal choice of controls (e.g., relatives), (ii) small number of exposed cases and controls, (iii) inclusion of cigarette smokers with hookah smokers, (iv) lack </w:t>
            </w:r>
            <w:r w:rsidR="00DC5A64" w:rsidRPr="00697B94">
              <w:rPr>
                <w:bCs/>
                <w:sz w:val="22"/>
                <w:szCs w:val="22"/>
                <w:lang w:val="en-US"/>
              </w:rPr>
              <w:lastRenderedPageBreak/>
              <w:t>of results on duration or amount of hookah smoking.</w:t>
            </w:r>
            <w:r w:rsidR="0057107E" w:rsidRPr="00697B94">
              <w:rPr>
                <w:bCs/>
                <w:sz w:val="22"/>
                <w:szCs w:val="22"/>
                <w:lang w:val="en-US"/>
              </w:rPr>
              <w:t>so</w:t>
            </w:r>
            <w:r w:rsidR="0057107E" w:rsidRPr="00697B94">
              <w:rPr>
                <w:lang w:val="en-US"/>
              </w:rPr>
              <w:t xml:space="preserve"> </w:t>
            </w:r>
            <w:r w:rsidR="0057107E" w:rsidRPr="00697B94">
              <w:rPr>
                <w:bCs/>
                <w:sz w:val="22"/>
                <w:szCs w:val="22"/>
                <w:lang w:val="en-US"/>
              </w:rPr>
              <w:t xml:space="preserve">further research is needed to confirm these associations. </w:t>
            </w:r>
          </w:p>
          <w:p w14:paraId="4D2C5768" w14:textId="29B103D8" w:rsidR="008F7FAD" w:rsidRDefault="008F7FAD" w:rsidP="00945AFC">
            <w:pPr>
              <w:pStyle w:val="NormalWeb"/>
              <w:spacing w:before="0" w:beforeAutospacing="0" w:after="120" w:afterAutospacing="0"/>
              <w:jc w:val="both"/>
              <w:rPr>
                <w:b/>
                <w:color w:val="FF0000"/>
                <w:sz w:val="21"/>
                <w:szCs w:val="21"/>
              </w:rPr>
            </w:pPr>
            <w:r w:rsidRPr="00DB1934">
              <w:rPr>
                <w:b/>
                <w:sz w:val="21"/>
                <w:szCs w:val="21"/>
              </w:rPr>
              <w:t>Obiettivi</w:t>
            </w:r>
          </w:p>
          <w:p w14:paraId="04558967" w14:textId="1471523B" w:rsidR="003F7F94" w:rsidRPr="003F7F94" w:rsidRDefault="003F7F94" w:rsidP="007257C2">
            <w:pPr>
              <w:pStyle w:val="ListParagraph"/>
              <w:numPr>
                <w:ilvl w:val="0"/>
                <w:numId w:val="14"/>
              </w:numPr>
              <w:suppressAutoHyphens/>
              <w:spacing w:after="160" w:line="360" w:lineRule="auto"/>
              <w:jc w:val="both"/>
              <w:rPr>
                <w:rFonts w:ascii="Calibri" w:eastAsia="Calibri" w:hAnsi="Calibri" w:cs="Helvetica"/>
                <w:iCs/>
                <w:color w:val="000000"/>
                <w:sz w:val="22"/>
                <w:szCs w:val="22"/>
                <w:lang w:val="en-US" w:eastAsia="en-US"/>
              </w:rPr>
            </w:pPr>
            <w:r w:rsidRPr="003F7F94">
              <w:rPr>
                <w:rFonts w:eastAsia="Calibri"/>
                <w:iCs/>
                <w:color w:val="000000"/>
                <w:sz w:val="22"/>
                <w:szCs w:val="22"/>
                <w:lang w:val="en-US" w:eastAsia="en-US"/>
              </w:rPr>
              <w:t>The primary objective of this study is to determine the association between hookah consumption and common cancers among Iranians based on the amount consumed and the length used</w:t>
            </w:r>
            <w:r>
              <w:rPr>
                <w:rFonts w:eastAsia="Calibri"/>
                <w:iCs/>
                <w:color w:val="000000"/>
                <w:sz w:val="22"/>
                <w:szCs w:val="22"/>
                <w:lang w:val="en-US" w:eastAsia="en-US"/>
              </w:rPr>
              <w:t xml:space="preserve"> by using available national databases.</w:t>
            </w:r>
          </w:p>
          <w:p w14:paraId="3921FF02" w14:textId="486EDA12" w:rsidR="008F7FAD" w:rsidRPr="007257C2" w:rsidRDefault="007257C2" w:rsidP="007257C2">
            <w:pPr>
              <w:pStyle w:val="ListParagraph"/>
              <w:numPr>
                <w:ilvl w:val="0"/>
                <w:numId w:val="14"/>
              </w:numPr>
              <w:suppressAutoHyphens/>
              <w:spacing w:after="160" w:line="360" w:lineRule="auto"/>
              <w:jc w:val="both"/>
              <w:rPr>
                <w:rFonts w:ascii="Calibri" w:eastAsia="Calibri" w:hAnsi="Calibri" w:cs="Helvetica"/>
                <w:iCs/>
                <w:color w:val="000000"/>
                <w:sz w:val="22"/>
                <w:szCs w:val="22"/>
                <w:lang w:val="en-US" w:eastAsia="en-US"/>
              </w:rPr>
            </w:pPr>
            <w:r w:rsidRPr="00697B94">
              <w:rPr>
                <w:bCs/>
                <w:sz w:val="22"/>
                <w:szCs w:val="22"/>
                <w:lang w:val="en-US"/>
              </w:rPr>
              <w:t xml:space="preserve">Our </w:t>
            </w:r>
            <w:r w:rsidR="003F7F94" w:rsidRPr="00697B94">
              <w:rPr>
                <w:bCs/>
                <w:sz w:val="22"/>
                <w:szCs w:val="22"/>
                <w:lang w:val="en-US"/>
              </w:rPr>
              <w:t xml:space="preserve">other </w:t>
            </w:r>
            <w:r w:rsidRPr="00697B94">
              <w:rPr>
                <w:bCs/>
                <w:sz w:val="22"/>
                <w:szCs w:val="22"/>
                <w:lang w:val="en-US"/>
              </w:rPr>
              <w:t>specific objectives are: d</w:t>
            </w:r>
            <w:r w:rsidR="007B2E40" w:rsidRPr="00697B94">
              <w:rPr>
                <w:bCs/>
                <w:sz w:val="22"/>
                <w:szCs w:val="22"/>
                <w:lang w:val="en-US"/>
              </w:rPr>
              <w:t xml:space="preserve">etermining the association between another covariable </w:t>
            </w:r>
            <w:r w:rsidR="00697B94" w:rsidRPr="00697B94">
              <w:rPr>
                <w:bCs/>
                <w:sz w:val="22"/>
                <w:szCs w:val="22"/>
                <w:lang w:val="en-US"/>
              </w:rPr>
              <w:t>available</w:t>
            </w:r>
            <w:r w:rsidR="007B2E40" w:rsidRPr="00697B94">
              <w:rPr>
                <w:bCs/>
                <w:sz w:val="22"/>
                <w:szCs w:val="22"/>
                <w:lang w:val="en-US"/>
              </w:rPr>
              <w:t xml:space="preserve"> in database such as intake of different food groups, alcohol consumption, opium </w:t>
            </w:r>
            <w:proofErr w:type="gramStart"/>
            <w:r w:rsidR="007B2E40" w:rsidRPr="00697B94">
              <w:rPr>
                <w:bCs/>
                <w:sz w:val="22"/>
                <w:szCs w:val="22"/>
                <w:lang w:val="en-US"/>
              </w:rPr>
              <w:t>use</w:t>
            </w:r>
            <w:r w:rsidR="003F7F94" w:rsidRPr="00697B94">
              <w:rPr>
                <w:bCs/>
                <w:sz w:val="22"/>
                <w:szCs w:val="22"/>
                <w:lang w:val="en-US"/>
              </w:rPr>
              <w:t xml:space="preserve">, </w:t>
            </w:r>
            <w:r w:rsidR="007B2E40" w:rsidRPr="00697B94">
              <w:rPr>
                <w:bCs/>
                <w:sz w:val="22"/>
                <w:szCs w:val="22"/>
                <w:lang w:val="en-US"/>
              </w:rPr>
              <w:t xml:space="preserve"> socioeconomic</w:t>
            </w:r>
            <w:proofErr w:type="gramEnd"/>
            <w:r w:rsidR="007B2E40" w:rsidRPr="00697B94">
              <w:rPr>
                <w:bCs/>
                <w:sz w:val="22"/>
                <w:szCs w:val="22"/>
                <w:lang w:val="en-US"/>
              </w:rPr>
              <w:t xml:space="preserve"> status</w:t>
            </w:r>
            <w:r w:rsidR="00F93C80" w:rsidRPr="00697B94">
              <w:rPr>
                <w:bCs/>
                <w:sz w:val="22"/>
                <w:szCs w:val="22"/>
                <w:lang w:val="en-US"/>
              </w:rPr>
              <w:t xml:space="preserve"> (SES)</w:t>
            </w:r>
            <w:r w:rsidR="007B2E40" w:rsidRPr="00697B94">
              <w:rPr>
                <w:bCs/>
                <w:sz w:val="22"/>
                <w:szCs w:val="22"/>
                <w:lang w:val="en-US"/>
              </w:rPr>
              <w:t xml:space="preserve"> and </w:t>
            </w:r>
            <w:proofErr w:type="spellStart"/>
            <w:r w:rsidR="007B2E40" w:rsidRPr="00697B94">
              <w:rPr>
                <w:bCs/>
                <w:sz w:val="22"/>
                <w:szCs w:val="22"/>
                <w:lang w:val="en-US"/>
              </w:rPr>
              <w:t>etc</w:t>
            </w:r>
            <w:proofErr w:type="spellEnd"/>
            <w:r w:rsidR="007B2E40" w:rsidRPr="00697B94">
              <w:rPr>
                <w:bCs/>
                <w:sz w:val="22"/>
                <w:szCs w:val="22"/>
                <w:lang w:val="en-US"/>
              </w:rPr>
              <w:t xml:space="preserve"> and </w:t>
            </w:r>
            <w:r w:rsidR="003F7F94" w:rsidRPr="00697B94">
              <w:rPr>
                <w:bCs/>
                <w:sz w:val="22"/>
                <w:szCs w:val="22"/>
                <w:lang w:val="en-US"/>
              </w:rPr>
              <w:t>cancer</w:t>
            </w:r>
            <w:r w:rsidR="007B2E40" w:rsidRPr="00697B94">
              <w:rPr>
                <w:bCs/>
                <w:sz w:val="22"/>
                <w:szCs w:val="22"/>
                <w:lang w:val="en-US"/>
              </w:rPr>
              <w:t xml:space="preserve"> risk</w:t>
            </w:r>
            <w:r w:rsidR="006341D8" w:rsidRPr="00697B94">
              <w:rPr>
                <w:bCs/>
                <w:sz w:val="22"/>
                <w:szCs w:val="22"/>
                <w:lang w:val="en-US"/>
              </w:rPr>
              <w:t>.</w:t>
            </w:r>
          </w:p>
          <w:p w14:paraId="7F628D4F" w14:textId="7B36E3B8" w:rsidR="008F7FAD" w:rsidRDefault="008F7FAD" w:rsidP="00945AFC">
            <w:pPr>
              <w:pStyle w:val="NormalWeb"/>
              <w:spacing w:before="0" w:beforeAutospacing="0" w:after="120" w:afterAutospacing="0"/>
              <w:jc w:val="both"/>
              <w:rPr>
                <w:b/>
                <w:color w:val="FF0000"/>
                <w:sz w:val="21"/>
                <w:szCs w:val="21"/>
              </w:rPr>
            </w:pPr>
            <w:r w:rsidRPr="00DB1934">
              <w:rPr>
                <w:b/>
                <w:sz w:val="21"/>
                <w:szCs w:val="21"/>
              </w:rPr>
              <w:t>Metodologia (</w:t>
            </w:r>
            <w:r w:rsidRPr="00DB1934">
              <w:rPr>
                <w:b/>
                <w:i/>
                <w:sz w:val="21"/>
                <w:szCs w:val="21"/>
              </w:rPr>
              <w:t>descrizione del campione, principali tecniche utilizzate, aspetti biostatistici</w:t>
            </w:r>
            <w:r>
              <w:rPr>
                <w:b/>
                <w:i/>
                <w:sz w:val="21"/>
                <w:szCs w:val="21"/>
              </w:rPr>
              <w:t>, fattibilità</w:t>
            </w:r>
            <w:r w:rsidRPr="00DB1934">
              <w:rPr>
                <w:b/>
                <w:i/>
                <w:sz w:val="21"/>
                <w:szCs w:val="21"/>
              </w:rPr>
              <w:t>…</w:t>
            </w:r>
            <w:r w:rsidRPr="00DB1934">
              <w:rPr>
                <w:b/>
                <w:sz w:val="21"/>
                <w:szCs w:val="21"/>
              </w:rPr>
              <w:t>)</w:t>
            </w:r>
          </w:p>
          <w:p w14:paraId="02D40BB6" w14:textId="1D1AD968" w:rsidR="008F7FAD" w:rsidRPr="007257C2" w:rsidRDefault="007257C2" w:rsidP="007257C2">
            <w:pPr>
              <w:suppressAutoHyphens/>
              <w:spacing w:after="160" w:line="360" w:lineRule="auto"/>
              <w:jc w:val="both"/>
              <w:rPr>
                <w:rFonts w:eastAsia="Calibri"/>
                <w:iCs/>
                <w:color w:val="000000"/>
                <w:sz w:val="22"/>
                <w:szCs w:val="22"/>
                <w:lang w:val="en-US" w:eastAsia="en-US"/>
              </w:rPr>
            </w:pPr>
            <w:r w:rsidRPr="007257C2">
              <w:rPr>
                <w:rFonts w:eastAsia="Calibri"/>
                <w:iCs/>
                <w:color w:val="000000"/>
                <w:sz w:val="22"/>
                <w:szCs w:val="22"/>
                <w:lang w:val="en-US" w:eastAsia="en-US"/>
              </w:rPr>
              <w:t xml:space="preserve">According to the previous studies, gap of evidence, common cancer in Iran, and availability of databases, we chose to focus on colorectal, bladder, </w:t>
            </w:r>
            <w:proofErr w:type="gramStart"/>
            <w:r w:rsidRPr="007257C2">
              <w:rPr>
                <w:rFonts w:eastAsia="Calibri"/>
                <w:iCs/>
                <w:color w:val="000000"/>
                <w:sz w:val="22"/>
                <w:szCs w:val="22"/>
                <w:lang w:val="en-US" w:eastAsia="en-US"/>
              </w:rPr>
              <w:t>head</w:t>
            </w:r>
            <w:proofErr w:type="gramEnd"/>
            <w:r w:rsidRPr="007257C2">
              <w:rPr>
                <w:rFonts w:eastAsia="Calibri"/>
                <w:iCs/>
                <w:color w:val="000000"/>
                <w:sz w:val="22"/>
                <w:szCs w:val="22"/>
                <w:lang w:val="en-US" w:eastAsia="en-US"/>
              </w:rPr>
              <w:t xml:space="preserve"> and neck, gastric, and esophagus cancer. </w:t>
            </w:r>
            <w:r w:rsidR="002D50E2" w:rsidRPr="002D50E2">
              <w:rPr>
                <w:rFonts w:eastAsia="Calibri"/>
                <w:iCs/>
                <w:color w:val="000000"/>
                <w:sz w:val="22"/>
                <w:szCs w:val="22"/>
                <w:lang w:val="en-US" w:eastAsia="en-US"/>
              </w:rPr>
              <w:t xml:space="preserve">The proposed analysis will be performed using the data collected within three studies conducted in Iran. 1) The Golestan Cohort Study, 2) The IROPICAN multicenter case-control </w:t>
            </w:r>
            <w:r w:rsidR="0001010E" w:rsidRPr="002D50E2">
              <w:rPr>
                <w:rFonts w:eastAsia="Calibri"/>
                <w:iCs/>
                <w:color w:val="000000"/>
                <w:sz w:val="22"/>
                <w:szCs w:val="22"/>
                <w:lang w:val="en-US" w:eastAsia="en-US"/>
              </w:rPr>
              <w:t>study</w:t>
            </w:r>
            <w:r w:rsidR="0001010E">
              <w:rPr>
                <w:rFonts w:eastAsia="Calibri"/>
                <w:iCs/>
                <w:color w:val="000000"/>
                <w:sz w:val="22"/>
                <w:szCs w:val="22"/>
                <w:lang w:val="en-US" w:eastAsia="en-US"/>
              </w:rPr>
              <w:t>,</w:t>
            </w:r>
            <w:r w:rsidR="002D50E2" w:rsidRPr="002D50E2">
              <w:rPr>
                <w:rFonts w:eastAsia="Calibri"/>
                <w:iCs/>
                <w:color w:val="000000"/>
                <w:sz w:val="22"/>
                <w:szCs w:val="22"/>
                <w:lang w:val="en-US" w:eastAsia="en-US"/>
              </w:rPr>
              <w:t xml:space="preserve"> and 3) </w:t>
            </w:r>
            <w:r w:rsidR="00FE596A" w:rsidRPr="006341D8">
              <w:rPr>
                <w:rFonts w:eastAsia="Calibri"/>
                <w:iCs/>
                <w:color w:val="000000"/>
                <w:sz w:val="22"/>
                <w:szCs w:val="22"/>
                <w:lang w:val="en-US" w:eastAsia="en-US"/>
              </w:rPr>
              <w:t>Pars Cohort Study</w:t>
            </w:r>
            <w:r w:rsidR="006341D8" w:rsidRPr="006341D8">
              <w:rPr>
                <w:rFonts w:eastAsia="Calibri"/>
                <w:iCs/>
                <w:color w:val="000000"/>
                <w:sz w:val="22"/>
                <w:szCs w:val="22"/>
                <w:lang w:val="en-US" w:eastAsia="en-US"/>
              </w:rPr>
              <w:t xml:space="preserve">. </w:t>
            </w:r>
            <w:r w:rsidR="0057107E" w:rsidRPr="0057107E">
              <w:rPr>
                <w:rFonts w:eastAsia="Calibri"/>
                <w:iCs/>
                <w:color w:val="000000"/>
                <w:sz w:val="22"/>
                <w:szCs w:val="22"/>
                <w:lang w:val="en-US" w:eastAsia="en-US"/>
              </w:rPr>
              <w:t xml:space="preserve">The first step of the statistical analysis will consist of a series of cross-sectional analyses among controls to identify correlates of hookah smoking to be included as potential confounders: a preliminary list includes ethnicity, urban residence, </w:t>
            </w:r>
            <w:r w:rsidR="00F93C80">
              <w:rPr>
                <w:rFonts w:eastAsia="Calibri"/>
                <w:iCs/>
                <w:color w:val="000000"/>
                <w:sz w:val="22"/>
                <w:szCs w:val="22"/>
                <w:lang w:val="en-US" w:eastAsia="en-US"/>
              </w:rPr>
              <w:t>SES</w:t>
            </w:r>
            <w:r w:rsidR="0057107E" w:rsidRPr="0057107E">
              <w:rPr>
                <w:rFonts w:eastAsia="Calibri"/>
                <w:iCs/>
                <w:color w:val="000000"/>
                <w:sz w:val="22"/>
                <w:szCs w:val="22"/>
                <w:lang w:val="en-US" w:eastAsia="en-US"/>
              </w:rPr>
              <w:t xml:space="preserve">, </w:t>
            </w:r>
            <w:r w:rsidR="00F93C80">
              <w:rPr>
                <w:rFonts w:eastAsia="Calibri"/>
                <w:iCs/>
                <w:color w:val="000000"/>
                <w:sz w:val="22"/>
                <w:szCs w:val="22"/>
                <w:lang w:val="en-US" w:eastAsia="en-US"/>
              </w:rPr>
              <w:t>cigarette</w:t>
            </w:r>
            <w:r w:rsidR="0057107E" w:rsidRPr="0057107E">
              <w:rPr>
                <w:rFonts w:eastAsia="Calibri"/>
                <w:iCs/>
                <w:color w:val="000000"/>
                <w:sz w:val="22"/>
                <w:szCs w:val="22"/>
                <w:lang w:val="en-US" w:eastAsia="en-US"/>
              </w:rPr>
              <w:t xml:space="preserve"> smoking, opium use, family history of cancer, as well as alcohol drinking</w:t>
            </w:r>
            <w:r w:rsidR="00F93C80">
              <w:rPr>
                <w:rFonts w:eastAsia="Calibri"/>
                <w:iCs/>
                <w:color w:val="000000"/>
                <w:sz w:val="22"/>
                <w:szCs w:val="22"/>
                <w:lang w:val="en-US" w:eastAsia="en-US"/>
              </w:rPr>
              <w:t xml:space="preserve">, </w:t>
            </w:r>
            <w:r w:rsidR="0057107E" w:rsidRPr="0057107E">
              <w:rPr>
                <w:rFonts w:eastAsia="Calibri"/>
                <w:iCs/>
                <w:color w:val="000000"/>
                <w:sz w:val="22"/>
                <w:szCs w:val="22"/>
                <w:lang w:val="en-US" w:eastAsia="en-US"/>
              </w:rPr>
              <w:t>body mass index</w:t>
            </w:r>
            <w:r w:rsidR="00F93C80">
              <w:rPr>
                <w:rFonts w:eastAsia="Calibri"/>
                <w:iCs/>
                <w:color w:val="000000"/>
                <w:sz w:val="22"/>
                <w:szCs w:val="22"/>
                <w:lang w:val="en-US" w:eastAsia="en-US"/>
              </w:rPr>
              <w:t xml:space="preserve">. </w:t>
            </w:r>
            <w:r w:rsidR="0057107E" w:rsidRPr="0057107E">
              <w:rPr>
                <w:rFonts w:eastAsia="Calibri"/>
                <w:iCs/>
                <w:color w:val="000000"/>
                <w:sz w:val="22"/>
                <w:szCs w:val="22"/>
                <w:lang w:val="en-US" w:eastAsia="en-US"/>
              </w:rPr>
              <w:t xml:space="preserve">A liberal significance level (e.g., p&lt;0.15) will be used.  Subsequently, </w:t>
            </w:r>
            <w:r w:rsidR="0057107E" w:rsidRPr="00697B94">
              <w:rPr>
                <w:bCs/>
                <w:sz w:val="22"/>
                <w:szCs w:val="22"/>
                <w:lang w:val="en-US"/>
              </w:rPr>
              <w:t>we</w:t>
            </w:r>
            <w:r w:rsidR="007B2E40" w:rsidRPr="00697B94">
              <w:rPr>
                <w:bCs/>
                <w:sz w:val="22"/>
                <w:szCs w:val="22"/>
                <w:lang w:val="en-US"/>
              </w:rPr>
              <w:t xml:space="preserve"> will test the hypothesis that hookah smoking is associated with higher risk of developing each of the cancers included in </w:t>
            </w:r>
            <w:r w:rsidRPr="00697B94">
              <w:rPr>
                <w:bCs/>
                <w:sz w:val="22"/>
                <w:szCs w:val="22"/>
                <w:lang w:val="en-US"/>
              </w:rPr>
              <w:t>our</w:t>
            </w:r>
            <w:r w:rsidR="00FE596A" w:rsidRPr="00697B94">
              <w:rPr>
                <w:bCs/>
                <w:sz w:val="22"/>
                <w:szCs w:val="22"/>
                <w:lang w:val="en-US"/>
              </w:rPr>
              <w:t xml:space="preserve"> project</w:t>
            </w:r>
            <w:r w:rsidR="007B2E40" w:rsidRPr="00697B94">
              <w:rPr>
                <w:bCs/>
                <w:sz w:val="22"/>
                <w:szCs w:val="22"/>
                <w:lang w:val="en-US"/>
              </w:rPr>
              <w:t xml:space="preserve"> by fitting conditional logistic regression models to calculate ORs and 95% C</w:t>
            </w:r>
            <w:r w:rsidR="00FE596A" w:rsidRPr="00697B94">
              <w:rPr>
                <w:bCs/>
                <w:sz w:val="22"/>
                <w:szCs w:val="22"/>
                <w:lang w:val="en-US"/>
              </w:rPr>
              <w:t>I</w:t>
            </w:r>
            <w:r w:rsidR="007B2E40" w:rsidRPr="00697B94">
              <w:rPr>
                <w:bCs/>
                <w:sz w:val="22"/>
                <w:szCs w:val="22"/>
                <w:lang w:val="en-US"/>
              </w:rPr>
              <w:t>s</w:t>
            </w:r>
            <w:r w:rsidR="00FE596A" w:rsidRPr="00697B94">
              <w:rPr>
                <w:bCs/>
                <w:sz w:val="22"/>
                <w:szCs w:val="22"/>
                <w:lang w:val="en-US"/>
              </w:rPr>
              <w:t xml:space="preserve"> or proportional hazards regression models to estimate hazard ratios (HRs) and corresponding 95% Cis according to the type of using databases</w:t>
            </w:r>
            <w:r w:rsidR="007B2E40" w:rsidRPr="00697B94">
              <w:rPr>
                <w:bCs/>
                <w:sz w:val="22"/>
                <w:szCs w:val="22"/>
                <w:lang w:val="en-US"/>
              </w:rPr>
              <w:t xml:space="preserve">. Potential confounding will be assessed by adjusting for the </w:t>
            </w:r>
            <w:r w:rsidR="006341D8" w:rsidRPr="00697B94">
              <w:rPr>
                <w:bCs/>
                <w:sz w:val="22"/>
                <w:szCs w:val="22"/>
                <w:lang w:val="en-US"/>
              </w:rPr>
              <w:t>covariable suspected for cancers risk.</w:t>
            </w:r>
            <w:r w:rsidR="007B2E40" w:rsidRPr="00697B94">
              <w:rPr>
                <w:bCs/>
                <w:sz w:val="22"/>
                <w:szCs w:val="22"/>
                <w:lang w:val="en-US"/>
              </w:rPr>
              <w:t xml:space="preserve"> identified as described above, in addition to sex, age and study center that are included as matching factors. In secondary analyses, we will consider the effect of amount and duration of hookah smoking by fitting categorical (e.g., </w:t>
            </w:r>
            <w:proofErr w:type="spellStart"/>
            <w:r w:rsidR="007B2E40" w:rsidRPr="00697B94">
              <w:rPr>
                <w:bCs/>
                <w:sz w:val="22"/>
                <w:szCs w:val="22"/>
                <w:lang w:val="en-US"/>
              </w:rPr>
              <w:t>tertiles</w:t>
            </w:r>
            <w:proofErr w:type="spellEnd"/>
            <w:r w:rsidR="007B2E40" w:rsidRPr="00697B94">
              <w:rPr>
                <w:bCs/>
                <w:sz w:val="22"/>
                <w:szCs w:val="22"/>
                <w:lang w:val="en-US"/>
              </w:rPr>
              <w:t xml:space="preserve"> of exposure distribution among controls) and continuous (linear) variables.</w:t>
            </w:r>
          </w:p>
          <w:p w14:paraId="627517B4" w14:textId="25E0C73A" w:rsidR="008F7FAD" w:rsidRPr="00697B94" w:rsidRDefault="008F7FAD" w:rsidP="00945AFC">
            <w:pPr>
              <w:pStyle w:val="NormalWeb"/>
              <w:spacing w:before="0" w:beforeAutospacing="0" w:after="120" w:afterAutospacing="0"/>
              <w:jc w:val="both"/>
              <w:rPr>
                <w:b/>
                <w:color w:val="FF0000"/>
                <w:sz w:val="21"/>
                <w:szCs w:val="21"/>
                <w:lang w:val="en-US"/>
              </w:rPr>
            </w:pPr>
            <w:proofErr w:type="spellStart"/>
            <w:r w:rsidRPr="00697B94">
              <w:rPr>
                <w:b/>
                <w:sz w:val="21"/>
                <w:szCs w:val="21"/>
                <w:lang w:val="en-US"/>
              </w:rPr>
              <w:t>Risultati</w:t>
            </w:r>
            <w:proofErr w:type="spellEnd"/>
            <w:r w:rsidRPr="00697B94">
              <w:rPr>
                <w:b/>
                <w:sz w:val="21"/>
                <w:szCs w:val="21"/>
                <w:lang w:val="en-US"/>
              </w:rPr>
              <w:t xml:space="preserve"> </w:t>
            </w:r>
            <w:proofErr w:type="spellStart"/>
            <w:r w:rsidRPr="00697B94">
              <w:rPr>
                <w:b/>
                <w:sz w:val="21"/>
                <w:szCs w:val="21"/>
                <w:lang w:val="en-US"/>
              </w:rPr>
              <w:t>attesi</w:t>
            </w:r>
            <w:proofErr w:type="spellEnd"/>
          </w:p>
          <w:p w14:paraId="6DCAE71F" w14:textId="7C56F273" w:rsidR="006341D8" w:rsidRPr="00697B94" w:rsidRDefault="006341D8" w:rsidP="007257C2">
            <w:pPr>
              <w:pStyle w:val="NormalWeb"/>
              <w:spacing w:before="0" w:beforeAutospacing="0" w:after="120" w:afterAutospacing="0" w:line="360" w:lineRule="auto"/>
              <w:jc w:val="both"/>
              <w:rPr>
                <w:bCs/>
                <w:sz w:val="21"/>
                <w:szCs w:val="21"/>
                <w:lang w:val="en-US"/>
              </w:rPr>
            </w:pPr>
            <w:r w:rsidRPr="00697B94">
              <w:rPr>
                <w:bCs/>
                <w:sz w:val="21"/>
                <w:szCs w:val="21"/>
                <w:lang w:val="en-US"/>
              </w:rPr>
              <w:t xml:space="preserve">The expected outcomes are to describe in detail the association between overall hookah consumption and based on the </w:t>
            </w:r>
            <w:r w:rsidR="00F93C80" w:rsidRPr="00697B94">
              <w:rPr>
                <w:bCs/>
                <w:sz w:val="21"/>
                <w:szCs w:val="21"/>
                <w:lang w:val="en-US"/>
              </w:rPr>
              <w:t>amount consumed and the length used</w:t>
            </w:r>
            <w:r w:rsidRPr="00697B94">
              <w:rPr>
                <w:bCs/>
                <w:sz w:val="21"/>
                <w:szCs w:val="21"/>
                <w:lang w:val="en-US"/>
              </w:rPr>
              <w:t xml:space="preserve">. In addition, we will produce results by tumor location and histological information </w:t>
            </w:r>
            <w:proofErr w:type="gramStart"/>
            <w:r w:rsidRPr="00697B94">
              <w:rPr>
                <w:bCs/>
                <w:sz w:val="21"/>
                <w:szCs w:val="21"/>
                <w:lang w:val="en-US"/>
              </w:rPr>
              <w:t>according</w:t>
            </w:r>
            <w:proofErr w:type="gramEnd"/>
            <w:r w:rsidRPr="00697B94">
              <w:rPr>
                <w:bCs/>
                <w:sz w:val="21"/>
                <w:szCs w:val="21"/>
                <w:lang w:val="en-US"/>
              </w:rPr>
              <w:t xml:space="preserve"> type of cancers such as proximal colon, distal colon, and rectum sub-sites for CRC, age group, and other potential co-factors. The results of this study may lead to the development of evidence-based cancer prevention programs about the impact of </w:t>
            </w:r>
            <w:r w:rsidR="00F93C80" w:rsidRPr="00697B94">
              <w:rPr>
                <w:bCs/>
                <w:sz w:val="21"/>
                <w:szCs w:val="21"/>
                <w:lang w:val="en-US"/>
              </w:rPr>
              <w:t>hookah</w:t>
            </w:r>
            <w:r w:rsidRPr="00697B94">
              <w:rPr>
                <w:bCs/>
                <w:sz w:val="21"/>
                <w:szCs w:val="21"/>
                <w:lang w:val="en-US"/>
              </w:rPr>
              <w:t xml:space="preserve"> </w:t>
            </w:r>
            <w:proofErr w:type="spellStart"/>
            <w:r w:rsidRPr="00697B94">
              <w:rPr>
                <w:bCs/>
                <w:sz w:val="21"/>
                <w:szCs w:val="21"/>
                <w:lang w:val="en-US"/>
              </w:rPr>
              <w:t>consumtion</w:t>
            </w:r>
            <w:proofErr w:type="spellEnd"/>
            <w:r w:rsidRPr="00697B94">
              <w:rPr>
                <w:bCs/>
                <w:sz w:val="21"/>
                <w:szCs w:val="21"/>
                <w:lang w:val="en-US"/>
              </w:rPr>
              <w:t xml:space="preserve"> and cancer</w:t>
            </w:r>
            <w:r w:rsidR="00E23100" w:rsidRPr="00697B94">
              <w:rPr>
                <w:bCs/>
                <w:sz w:val="21"/>
                <w:szCs w:val="21"/>
                <w:lang w:val="en-US"/>
              </w:rPr>
              <w:t>.</w:t>
            </w:r>
          </w:p>
        </w:tc>
      </w:tr>
      <w:tr w:rsidR="008F7FAD" w:rsidRPr="002E1FF5" w14:paraId="048F57B8" w14:textId="77777777" w:rsidTr="00945AFC">
        <w:tc>
          <w:tcPr>
            <w:tcW w:w="8330" w:type="dxa"/>
            <w:gridSpan w:val="5"/>
            <w:shd w:val="clear" w:color="auto" w:fill="auto"/>
            <w:vAlign w:val="center"/>
          </w:tcPr>
          <w:p w14:paraId="66D7AE75" w14:textId="77777777" w:rsidR="008F7FAD" w:rsidRDefault="008F7FAD" w:rsidP="00945AFC">
            <w:pPr>
              <w:spacing w:before="60" w:after="60"/>
              <w:jc w:val="both"/>
              <w:rPr>
                <w:sz w:val="28"/>
                <w:szCs w:val="28"/>
              </w:rPr>
            </w:pPr>
            <w:r>
              <w:rPr>
                <w:b/>
                <w:sz w:val="28"/>
                <w:szCs w:val="28"/>
              </w:rPr>
              <w:lastRenderedPageBreak/>
              <w:t>DESCRIZIONE</w:t>
            </w:r>
            <w:r w:rsidRPr="007A1E3A">
              <w:rPr>
                <w:b/>
                <w:sz w:val="28"/>
                <w:szCs w:val="28"/>
              </w:rPr>
              <w:t xml:space="preserve"> DELLE ATTIVITÀ DELL’ASSEGNISTA</w:t>
            </w:r>
            <w:r w:rsidRPr="00F70053">
              <w:rPr>
                <w:sz w:val="28"/>
                <w:szCs w:val="28"/>
              </w:rPr>
              <w:t xml:space="preserve"> </w:t>
            </w:r>
          </w:p>
          <w:p w14:paraId="7B4CB6D6" w14:textId="77777777" w:rsidR="008F7FAD" w:rsidRDefault="008F7FAD" w:rsidP="00945AFC">
            <w:pPr>
              <w:spacing w:before="60" w:after="60"/>
              <w:jc w:val="both"/>
              <w:rPr>
                <w:i/>
                <w:sz w:val="20"/>
                <w:szCs w:val="20"/>
              </w:rPr>
            </w:pPr>
            <w:r w:rsidRPr="00F70053">
              <w:rPr>
                <w:i/>
                <w:sz w:val="20"/>
                <w:szCs w:val="20"/>
              </w:rPr>
              <w:t>(</w:t>
            </w:r>
            <w:r>
              <w:rPr>
                <w:i/>
                <w:sz w:val="20"/>
                <w:szCs w:val="20"/>
              </w:rPr>
              <w:t xml:space="preserve">per i </w:t>
            </w:r>
            <w:r w:rsidRPr="00DB1934">
              <w:rPr>
                <w:b/>
                <w:i/>
                <w:sz w:val="20"/>
                <w:szCs w:val="20"/>
                <w:u w:val="single"/>
              </w:rPr>
              <w:t>nuovi</w:t>
            </w:r>
            <w:r>
              <w:rPr>
                <w:i/>
                <w:sz w:val="20"/>
                <w:szCs w:val="20"/>
              </w:rPr>
              <w:t xml:space="preserve"> assegni: </w:t>
            </w:r>
            <w:r w:rsidRPr="004C6C23">
              <w:rPr>
                <w:i/>
                <w:color w:val="FF0000"/>
                <w:sz w:val="20"/>
                <w:szCs w:val="20"/>
              </w:rPr>
              <w:t>max 400 parole</w:t>
            </w:r>
            <w:r>
              <w:rPr>
                <w:i/>
                <w:sz w:val="20"/>
                <w:szCs w:val="20"/>
              </w:rPr>
              <w:t xml:space="preserve">; competenze richieste, </w:t>
            </w:r>
            <w:r w:rsidRPr="004B08A3">
              <w:rPr>
                <w:i/>
                <w:sz w:val="20"/>
                <w:szCs w:val="20"/>
              </w:rPr>
              <w:t>scans</w:t>
            </w:r>
            <w:r>
              <w:rPr>
                <w:i/>
                <w:sz w:val="20"/>
                <w:szCs w:val="20"/>
              </w:rPr>
              <w:t xml:space="preserve">ione temporale della formazione, </w:t>
            </w:r>
            <w:r w:rsidRPr="004B08A3">
              <w:rPr>
                <w:i/>
                <w:sz w:val="20"/>
                <w:szCs w:val="20"/>
              </w:rPr>
              <w:t>scansione temporale dell’attivi</w:t>
            </w:r>
            <w:r>
              <w:rPr>
                <w:i/>
                <w:sz w:val="20"/>
                <w:szCs w:val="20"/>
              </w:rPr>
              <w:t xml:space="preserve">tà, </w:t>
            </w:r>
            <w:r w:rsidRPr="004B08A3">
              <w:rPr>
                <w:i/>
                <w:sz w:val="20"/>
                <w:szCs w:val="20"/>
              </w:rPr>
              <w:t>obiettivi primari e secondari</w:t>
            </w:r>
            <w:r w:rsidRPr="00F70053">
              <w:rPr>
                <w:i/>
                <w:sz w:val="20"/>
                <w:szCs w:val="20"/>
              </w:rPr>
              <w:t>)</w:t>
            </w:r>
          </w:p>
          <w:p w14:paraId="490F2501" w14:textId="77777777" w:rsidR="008F7FAD" w:rsidRPr="00DB1934" w:rsidRDefault="008F7FAD" w:rsidP="00945AFC">
            <w:pPr>
              <w:spacing w:before="60" w:after="60"/>
              <w:jc w:val="both"/>
              <w:rPr>
                <w:i/>
                <w:sz w:val="20"/>
                <w:szCs w:val="20"/>
              </w:rPr>
            </w:pPr>
            <w:r>
              <w:rPr>
                <w:i/>
                <w:sz w:val="20"/>
                <w:szCs w:val="20"/>
              </w:rPr>
              <w:t xml:space="preserve">(per i </w:t>
            </w:r>
            <w:r w:rsidRPr="00DB1934">
              <w:rPr>
                <w:b/>
                <w:i/>
                <w:sz w:val="20"/>
                <w:szCs w:val="20"/>
                <w:u w:val="single"/>
              </w:rPr>
              <w:t>rinnovi</w:t>
            </w:r>
            <w:r>
              <w:rPr>
                <w:i/>
                <w:sz w:val="20"/>
                <w:szCs w:val="20"/>
              </w:rPr>
              <w:t xml:space="preserve">: max 600 parole – da integrare con la relazione dell’assegnista; formazione raggiunta, attività effettuata, </w:t>
            </w:r>
            <w:r w:rsidRPr="004B08A3">
              <w:rPr>
                <w:i/>
                <w:sz w:val="20"/>
                <w:szCs w:val="20"/>
              </w:rPr>
              <w:t xml:space="preserve">obiettivi </w:t>
            </w:r>
            <w:r>
              <w:rPr>
                <w:i/>
                <w:sz w:val="20"/>
                <w:szCs w:val="20"/>
              </w:rPr>
              <w:t xml:space="preserve">raggiunti/competenze acquisite, </w:t>
            </w:r>
            <w:r w:rsidRPr="004B08A3">
              <w:rPr>
                <w:i/>
                <w:sz w:val="20"/>
                <w:szCs w:val="20"/>
              </w:rPr>
              <w:t>formazione anco</w:t>
            </w:r>
            <w:r>
              <w:rPr>
                <w:i/>
                <w:sz w:val="20"/>
                <w:szCs w:val="20"/>
              </w:rPr>
              <w:t xml:space="preserve">ra da acquisire (se pertinente), </w:t>
            </w:r>
            <w:r w:rsidRPr="004B08A3">
              <w:rPr>
                <w:i/>
                <w:sz w:val="20"/>
                <w:szCs w:val="20"/>
              </w:rPr>
              <w:t>scansione temporale dell’attività durante il rinnovo</w:t>
            </w:r>
            <w:r>
              <w:rPr>
                <w:i/>
                <w:sz w:val="20"/>
                <w:szCs w:val="20"/>
              </w:rPr>
              <w:t>)</w:t>
            </w:r>
          </w:p>
        </w:tc>
        <w:tc>
          <w:tcPr>
            <w:tcW w:w="1524" w:type="dxa"/>
            <w:shd w:val="pct10" w:color="FFFF00" w:fill="auto"/>
            <w:vAlign w:val="center"/>
          </w:tcPr>
          <w:p w14:paraId="650B7B8A" w14:textId="77777777" w:rsidR="008F7FAD" w:rsidRPr="002E1FF5" w:rsidRDefault="008F7FAD" w:rsidP="00945AFC">
            <w:pPr>
              <w:spacing w:before="60" w:after="60"/>
              <w:jc w:val="both"/>
              <w:rPr>
                <w:b/>
                <w:sz w:val="28"/>
                <w:szCs w:val="28"/>
              </w:rPr>
            </w:pPr>
            <w:r w:rsidRPr="00D52083">
              <w:rPr>
                <w:i/>
              </w:rPr>
              <w:t>Punti</w:t>
            </w:r>
          </w:p>
        </w:tc>
      </w:tr>
      <w:tr w:rsidR="008F7FAD" w:rsidRPr="00697B94" w14:paraId="44D64D99" w14:textId="77777777" w:rsidTr="00945AFC">
        <w:trPr>
          <w:trHeight w:val="3090"/>
        </w:trPr>
        <w:tc>
          <w:tcPr>
            <w:tcW w:w="9854" w:type="dxa"/>
            <w:gridSpan w:val="6"/>
            <w:shd w:val="clear" w:color="auto" w:fill="auto"/>
          </w:tcPr>
          <w:p w14:paraId="07F674EA" w14:textId="58C83C5E" w:rsidR="008F7FAD" w:rsidRPr="00697B94" w:rsidRDefault="004C6C23" w:rsidP="00945AFC">
            <w:pPr>
              <w:pStyle w:val="NormalWeb"/>
              <w:spacing w:before="0" w:beforeAutospacing="0" w:after="120" w:afterAutospacing="0"/>
              <w:jc w:val="both"/>
              <w:rPr>
                <w:sz w:val="21"/>
                <w:szCs w:val="21"/>
              </w:rPr>
            </w:pPr>
            <w:r w:rsidRPr="00697B94">
              <w:rPr>
                <w:sz w:val="21"/>
                <w:szCs w:val="21"/>
              </w:rPr>
              <w:t>Tasks for the fellow</w:t>
            </w:r>
            <w:r w:rsidR="00697B94">
              <w:rPr>
                <w:sz w:val="21"/>
                <w:szCs w:val="21"/>
              </w:rPr>
              <w:t>:</w:t>
            </w:r>
          </w:p>
          <w:p w14:paraId="6B33F9D9" w14:textId="5ECF2791" w:rsidR="00320801" w:rsidRPr="00320801" w:rsidRDefault="007257C2" w:rsidP="007257C2">
            <w:pPr>
              <w:pStyle w:val="NormalWeb"/>
              <w:numPr>
                <w:ilvl w:val="0"/>
                <w:numId w:val="15"/>
              </w:numPr>
              <w:spacing w:before="0" w:beforeAutospacing="0" w:after="120" w:afterAutospacing="0" w:line="360" w:lineRule="auto"/>
              <w:jc w:val="both"/>
              <w:rPr>
                <w:sz w:val="22"/>
                <w:szCs w:val="20"/>
                <w:lang w:val="en-US"/>
              </w:rPr>
            </w:pPr>
            <w:r>
              <w:rPr>
                <w:sz w:val="22"/>
                <w:szCs w:val="20"/>
                <w:lang w:val="en-US"/>
              </w:rPr>
              <w:t>They</w:t>
            </w:r>
            <w:r w:rsidR="00320801" w:rsidRPr="00320801">
              <w:rPr>
                <w:sz w:val="22"/>
                <w:szCs w:val="20"/>
                <w:lang w:val="en-US"/>
              </w:rPr>
              <w:t xml:space="preserve"> will work in the management of data to be acquired from the different studies and in the analysis of the data, in collaboration with the data provider.  </w:t>
            </w:r>
          </w:p>
          <w:p w14:paraId="1D7258ED" w14:textId="2F54FEE3" w:rsidR="00320801" w:rsidRPr="00320801" w:rsidRDefault="00320801" w:rsidP="007257C2">
            <w:pPr>
              <w:pStyle w:val="NormalWeb"/>
              <w:numPr>
                <w:ilvl w:val="0"/>
                <w:numId w:val="15"/>
              </w:numPr>
              <w:spacing w:before="0" w:beforeAutospacing="0" w:after="120" w:afterAutospacing="0" w:line="360" w:lineRule="auto"/>
              <w:jc w:val="both"/>
              <w:rPr>
                <w:sz w:val="22"/>
                <w:szCs w:val="20"/>
                <w:lang w:val="en-US"/>
              </w:rPr>
            </w:pPr>
            <w:r w:rsidRPr="00320801">
              <w:rPr>
                <w:sz w:val="22"/>
                <w:szCs w:val="20"/>
                <w:lang w:val="en-US"/>
              </w:rPr>
              <w:t>They will also collaborate with other partners involved in the Hookah and Cancer Risk Project.</w:t>
            </w:r>
          </w:p>
          <w:p w14:paraId="782143F0" w14:textId="4107AB25" w:rsidR="00320801" w:rsidRPr="00320801" w:rsidRDefault="00320801" w:rsidP="007257C2">
            <w:pPr>
              <w:pStyle w:val="NormalWeb"/>
              <w:numPr>
                <w:ilvl w:val="0"/>
                <w:numId w:val="15"/>
              </w:numPr>
              <w:spacing w:before="0" w:beforeAutospacing="0" w:after="120" w:afterAutospacing="0" w:line="360" w:lineRule="auto"/>
              <w:jc w:val="both"/>
              <w:rPr>
                <w:sz w:val="22"/>
                <w:szCs w:val="20"/>
                <w:lang w:val="en-US"/>
              </w:rPr>
            </w:pPr>
            <w:r w:rsidRPr="00320801">
              <w:rPr>
                <w:sz w:val="22"/>
                <w:szCs w:val="20"/>
                <w:lang w:val="en-US"/>
              </w:rPr>
              <w:t xml:space="preserve">They will be engaged in conducting descriptive and analytical statistical analyses on cancer risk from hookah smoking using standard epidemiology methods (e.g., multivariable logistic and Cox regression) under SAS, </w:t>
            </w:r>
            <w:proofErr w:type="gramStart"/>
            <w:r w:rsidRPr="00320801">
              <w:rPr>
                <w:sz w:val="22"/>
                <w:szCs w:val="20"/>
                <w:lang w:val="en-US"/>
              </w:rPr>
              <w:t>STATA</w:t>
            </w:r>
            <w:proofErr w:type="gramEnd"/>
            <w:r w:rsidRPr="00320801">
              <w:rPr>
                <w:sz w:val="22"/>
                <w:szCs w:val="20"/>
                <w:lang w:val="en-US"/>
              </w:rPr>
              <w:t xml:space="preserve"> or R</w:t>
            </w:r>
          </w:p>
          <w:p w14:paraId="0A24E79E" w14:textId="6CECAAB7" w:rsidR="00320801" w:rsidRPr="00697B94" w:rsidRDefault="007257C2" w:rsidP="007257C2">
            <w:pPr>
              <w:pStyle w:val="NormalWeb"/>
              <w:numPr>
                <w:ilvl w:val="0"/>
                <w:numId w:val="15"/>
              </w:numPr>
              <w:spacing w:before="0" w:beforeAutospacing="0" w:after="120" w:afterAutospacing="0" w:line="360" w:lineRule="auto"/>
              <w:jc w:val="both"/>
              <w:rPr>
                <w:color w:val="FF0000"/>
                <w:sz w:val="21"/>
                <w:szCs w:val="21"/>
                <w:lang w:val="en-US"/>
              </w:rPr>
            </w:pPr>
            <w:r w:rsidRPr="007257C2">
              <w:rPr>
                <w:sz w:val="22"/>
                <w:szCs w:val="20"/>
                <w:lang w:val="en-US"/>
              </w:rPr>
              <w:t>They will be engaged in writing and publishing paper related to the study.</w:t>
            </w:r>
          </w:p>
        </w:tc>
      </w:tr>
    </w:tbl>
    <w:p w14:paraId="6C6BBF12" w14:textId="77777777" w:rsidR="008F7FAD" w:rsidRDefault="008F7FAD" w:rsidP="008F7FAD">
      <w:pPr>
        <w:jc w:val="both"/>
        <w:rPr>
          <w:color w:val="FF0000"/>
        </w:rPr>
      </w:pPr>
      <w:r>
        <w:rPr>
          <w:color w:val="FF0000"/>
        </w:rPr>
        <w:t>SE RINNOVO, SI RICORDA DI ALLEGARE ANCHE LA RELAZIONE DELL’ASSEGNISTA</w:t>
      </w:r>
      <w:r w:rsidR="00052630">
        <w:rPr>
          <w:color w:val="FF0000"/>
        </w:rPr>
        <w:t xml:space="preserve"> CON LA SUA PRODUZIONE SCIENTIFICA</w:t>
      </w:r>
      <w:r>
        <w:rPr>
          <w:color w:val="FF0000"/>
        </w:rPr>
        <w:t>.</w:t>
      </w:r>
    </w:p>
    <w:p w14:paraId="7C8E033B" w14:textId="77777777" w:rsidR="008F7FAD" w:rsidRPr="00935A0A" w:rsidRDefault="008F7FAD" w:rsidP="008F7FAD">
      <w:pPr>
        <w:rPr>
          <w:color w:val="FF0000"/>
          <w:sz w:val="18"/>
        </w:rPr>
      </w:pPr>
    </w:p>
    <w:p w14:paraId="6F1EEBA3" w14:textId="77777777" w:rsidR="008F7FAD" w:rsidRPr="005918FB" w:rsidRDefault="008F7FAD" w:rsidP="008F7FAD">
      <w:pPr>
        <w:spacing w:after="60"/>
        <w:ind w:left="720"/>
        <w:jc w:val="right"/>
        <w:rPr>
          <w:i/>
        </w:rPr>
      </w:pPr>
      <w:r>
        <w:rPr>
          <w:i/>
        </w:rPr>
        <w:t>Scheda attività assistenziale (se prevista)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603B8" w:rsidRPr="00E603B8" w14:paraId="6AEB962C"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1042BA23" w14:textId="77777777" w:rsidR="00341677" w:rsidRPr="00E603B8" w:rsidRDefault="00341677" w:rsidP="00D90C0A">
            <w:pPr>
              <w:spacing w:before="60" w:after="60"/>
              <w:jc w:val="both"/>
              <w:rPr>
                <w:b/>
                <w:color w:val="FF0000"/>
              </w:rPr>
            </w:pPr>
            <w:r w:rsidRPr="00E603B8">
              <w:rPr>
                <w:b/>
                <w:color w:val="FF0000"/>
              </w:rPr>
              <w:t>ATTIVITÀ ASSISTENZIALI DELL’ASSEGNISTA/ N. ORE SETTIMANA</w:t>
            </w:r>
          </w:p>
        </w:tc>
      </w:tr>
      <w:tr w:rsidR="00E603B8" w:rsidRPr="00E603B8" w14:paraId="20E9CA42" w14:textId="77777777" w:rsidTr="00341677">
        <w:tc>
          <w:tcPr>
            <w:tcW w:w="9889" w:type="dxa"/>
            <w:tcBorders>
              <w:top w:val="single" w:sz="4" w:space="0" w:color="auto"/>
              <w:left w:val="single" w:sz="4" w:space="0" w:color="auto"/>
              <w:bottom w:val="single" w:sz="4" w:space="0" w:color="auto"/>
              <w:right w:val="single" w:sz="4" w:space="0" w:color="auto"/>
            </w:tcBorders>
          </w:tcPr>
          <w:p w14:paraId="6AECFE6F" w14:textId="4B6453C0" w:rsidR="00341677" w:rsidRPr="00E603B8" w:rsidRDefault="00697B94" w:rsidP="00D90C0A">
            <w:pPr>
              <w:pStyle w:val="NormalWeb"/>
              <w:spacing w:before="0" w:beforeAutospacing="0" w:after="120" w:afterAutospacing="0"/>
              <w:jc w:val="both"/>
              <w:rPr>
                <w:color w:val="FF0000"/>
                <w:sz w:val="21"/>
                <w:szCs w:val="21"/>
              </w:rPr>
            </w:pPr>
            <w:r>
              <w:rPr>
                <w:color w:val="FF0000"/>
                <w:sz w:val="21"/>
                <w:szCs w:val="21"/>
              </w:rPr>
              <w:t>Nessuna</w:t>
            </w:r>
          </w:p>
        </w:tc>
      </w:tr>
      <w:tr w:rsidR="00E603B8" w:rsidRPr="00E603B8" w14:paraId="76C48DE9" w14:textId="77777777" w:rsidTr="00341677">
        <w:tc>
          <w:tcPr>
            <w:tcW w:w="9889" w:type="dxa"/>
            <w:tcBorders>
              <w:top w:val="single" w:sz="4" w:space="0" w:color="auto"/>
              <w:left w:val="single" w:sz="4" w:space="0" w:color="auto"/>
              <w:bottom w:val="single" w:sz="4" w:space="0" w:color="auto"/>
              <w:right w:val="single" w:sz="4" w:space="0" w:color="auto"/>
            </w:tcBorders>
          </w:tcPr>
          <w:p w14:paraId="4401090A" w14:textId="77777777" w:rsidR="00341677" w:rsidRPr="00E603B8" w:rsidRDefault="00341677" w:rsidP="00D90C0A">
            <w:pPr>
              <w:pStyle w:val="NormalWeb"/>
              <w:spacing w:before="0" w:beforeAutospacing="0" w:after="120" w:afterAutospacing="0"/>
              <w:jc w:val="both"/>
              <w:rPr>
                <w:color w:val="FF0000"/>
                <w:sz w:val="21"/>
                <w:szCs w:val="21"/>
              </w:rPr>
            </w:pPr>
          </w:p>
        </w:tc>
      </w:tr>
      <w:tr w:rsidR="00E603B8" w:rsidRPr="00E603B8" w14:paraId="25B1E51E" w14:textId="77777777" w:rsidTr="00341677">
        <w:tc>
          <w:tcPr>
            <w:tcW w:w="9889" w:type="dxa"/>
            <w:tcBorders>
              <w:top w:val="single" w:sz="4" w:space="0" w:color="auto"/>
              <w:left w:val="single" w:sz="4" w:space="0" w:color="auto"/>
              <w:bottom w:val="single" w:sz="4" w:space="0" w:color="auto"/>
              <w:right w:val="single" w:sz="4" w:space="0" w:color="auto"/>
            </w:tcBorders>
          </w:tcPr>
          <w:p w14:paraId="6D851635" w14:textId="77777777" w:rsidR="00341677" w:rsidRPr="00E603B8" w:rsidRDefault="00341677" w:rsidP="00D90C0A">
            <w:pPr>
              <w:pStyle w:val="NormalWeb"/>
              <w:spacing w:before="0" w:beforeAutospacing="0" w:after="120" w:afterAutospacing="0"/>
              <w:jc w:val="both"/>
              <w:rPr>
                <w:color w:val="FF0000"/>
                <w:sz w:val="21"/>
                <w:szCs w:val="21"/>
              </w:rPr>
            </w:pPr>
          </w:p>
        </w:tc>
      </w:tr>
      <w:tr w:rsidR="00E603B8" w:rsidRPr="00E603B8" w14:paraId="4BABBBB2" w14:textId="77777777" w:rsidTr="00341677">
        <w:tc>
          <w:tcPr>
            <w:tcW w:w="9889" w:type="dxa"/>
            <w:tcBorders>
              <w:top w:val="single" w:sz="4" w:space="0" w:color="auto"/>
              <w:left w:val="single" w:sz="4" w:space="0" w:color="auto"/>
              <w:bottom w:val="single" w:sz="4" w:space="0" w:color="auto"/>
              <w:right w:val="single" w:sz="4" w:space="0" w:color="auto"/>
            </w:tcBorders>
            <w:hideMark/>
          </w:tcPr>
          <w:p w14:paraId="34AF7F19" w14:textId="77777777" w:rsidR="00341677" w:rsidRPr="00E603B8" w:rsidRDefault="00341677" w:rsidP="00D90C0A">
            <w:pPr>
              <w:pStyle w:val="NormalWeb"/>
              <w:spacing w:before="0" w:beforeAutospacing="0" w:after="120" w:afterAutospacing="0"/>
              <w:jc w:val="both"/>
              <w:rPr>
                <w:color w:val="FF0000"/>
                <w:sz w:val="21"/>
                <w:szCs w:val="21"/>
              </w:rPr>
            </w:pPr>
            <w:r w:rsidRPr="00E603B8">
              <w:rPr>
                <w:color w:val="FF0000"/>
              </w:rPr>
              <w:t>AZIENDA SANITARIA PRESSO CUI SI SVOLGERÀ L’ATTIVITÀ</w:t>
            </w:r>
          </w:p>
        </w:tc>
      </w:tr>
      <w:tr w:rsidR="00341677" w14:paraId="0FA91781" w14:textId="77777777" w:rsidTr="00341677">
        <w:tc>
          <w:tcPr>
            <w:tcW w:w="9889" w:type="dxa"/>
            <w:tcBorders>
              <w:top w:val="single" w:sz="4" w:space="0" w:color="auto"/>
              <w:left w:val="single" w:sz="4" w:space="0" w:color="auto"/>
              <w:bottom w:val="single" w:sz="4" w:space="0" w:color="auto"/>
              <w:right w:val="single" w:sz="4" w:space="0" w:color="auto"/>
            </w:tcBorders>
          </w:tcPr>
          <w:p w14:paraId="164C7ECC" w14:textId="77777777" w:rsidR="00341677" w:rsidRDefault="00341677" w:rsidP="00D90C0A">
            <w:pPr>
              <w:pStyle w:val="NormalWeb"/>
              <w:spacing w:before="0" w:beforeAutospacing="0" w:after="120" w:afterAutospacing="0"/>
              <w:jc w:val="both"/>
              <w:rPr>
                <w:sz w:val="21"/>
                <w:szCs w:val="21"/>
              </w:rPr>
            </w:pPr>
          </w:p>
        </w:tc>
      </w:tr>
    </w:tbl>
    <w:p w14:paraId="64F75699" w14:textId="77777777" w:rsidR="008F7FAD" w:rsidRDefault="008F7FAD" w:rsidP="008F7FAD">
      <w:pPr>
        <w:jc w:val="both"/>
      </w:pPr>
      <w:r w:rsidRPr="00946994">
        <w:t xml:space="preserve">Si ricorda che, come previsto dagli Accordi sull’impiego nell’attività assistenziale dei Titolari di assegni di ricerca, sottoscritti tra l’Università di Bologna e le Aziende Ospedaliere di riferimento, una volta stipulato il contratto con il vincitore della selezione, </w:t>
      </w:r>
      <w:r w:rsidRPr="00460601">
        <w:t>il tutor deve</w:t>
      </w:r>
      <w:r w:rsidRPr="00946994">
        <w:t xml:space="preserve"> consegnare alla Direzione Medica Ospedaliera la relativa modulistica, nella quale andranno riportate le attività qui segnalate.</w:t>
      </w:r>
    </w:p>
    <w:p w14:paraId="7FC22842" w14:textId="77777777" w:rsidR="00984211" w:rsidRDefault="00984211" w:rsidP="008F7FAD">
      <w:pPr>
        <w:jc w:val="both"/>
      </w:pPr>
    </w:p>
    <w:p w14:paraId="568F75C5" w14:textId="77777777" w:rsidR="00984211" w:rsidRDefault="00984211" w:rsidP="008F7FAD">
      <w:pPr>
        <w:jc w:val="both"/>
      </w:pPr>
    </w:p>
    <w:p w14:paraId="58A5E1E7" w14:textId="77777777" w:rsidR="00984211" w:rsidRPr="00C757B5" w:rsidRDefault="00984211" w:rsidP="008F7FAD">
      <w:pPr>
        <w:jc w:val="both"/>
        <w:rPr>
          <w:rFonts w:ascii="Trajan" w:hAnsi="Trajan"/>
        </w:rPr>
      </w:pPr>
    </w:p>
    <w:sectPr w:rsidR="00984211" w:rsidRPr="00C757B5" w:rsidSect="00BE1C84">
      <w:headerReference w:type="default" r:id="rId7"/>
      <w:footerReference w:type="default" r:id="rId8"/>
      <w:pgSz w:w="11906" w:h="16838"/>
      <w:pgMar w:top="1134" w:right="1134" w:bottom="567" w:left="1134" w:header="357"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BD58" w14:textId="77777777" w:rsidR="00D17E60" w:rsidRDefault="00D17E60">
      <w:r>
        <w:separator/>
      </w:r>
    </w:p>
  </w:endnote>
  <w:endnote w:type="continuationSeparator" w:id="0">
    <w:p w14:paraId="49FDE23D" w14:textId="77777777" w:rsidR="00D17E60" w:rsidRDefault="00D1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roman"/>
    <w:pitch w:val="variable"/>
  </w:font>
  <w:font w:name="Trajan">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6772" w14:textId="77777777" w:rsidR="00BE1C84" w:rsidRPr="008A26FE" w:rsidRDefault="00BE1C84" w:rsidP="00CB5C37">
    <w:pPr>
      <w:pStyle w:val="Footer"/>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w:t>
    </w:r>
  </w:p>
  <w:p w14:paraId="428A76E0" w14:textId="77777777" w:rsidR="005771B8" w:rsidRDefault="005771B8" w:rsidP="00CB5C37">
    <w:pPr>
      <w:pStyle w:val="Footer"/>
      <w:tabs>
        <w:tab w:val="clear" w:pos="9638"/>
        <w:tab w:val="right" w:pos="10065"/>
      </w:tabs>
      <w:ind w:left="-284" w:right="-285"/>
      <w:jc w:val="center"/>
      <w:rPr>
        <w:rFonts w:ascii="Garamond" w:hAnsi="Garamond"/>
        <w:caps/>
        <w:sz w:val="16"/>
        <w:szCs w:val="16"/>
      </w:rPr>
    </w:pPr>
    <w:r>
      <w:rPr>
        <w:rFonts w:ascii="Garamond" w:hAnsi="Garamond"/>
        <w:caps/>
        <w:sz w:val="16"/>
        <w:szCs w:val="16"/>
      </w:rPr>
      <w:t>SEDE AMMINIS</w:t>
    </w:r>
    <w:r w:rsidR="00AD57B7">
      <w:rPr>
        <w:rFonts w:ascii="Garamond" w:hAnsi="Garamond"/>
        <w:caps/>
        <w:sz w:val="16"/>
        <w:szCs w:val="16"/>
      </w:rPr>
      <w:t>TRATIVA C/O AZIENDA OSPEDALIERO-</w:t>
    </w:r>
    <w:r>
      <w:rPr>
        <w:rFonts w:ascii="Garamond" w:hAnsi="Garamond"/>
        <w:caps/>
        <w:sz w:val="16"/>
        <w:szCs w:val="16"/>
      </w:rPr>
      <w:t>UNIVERSITARIA – POLICLINICO S. ORSOLA–MALPIGHI</w:t>
    </w:r>
  </w:p>
  <w:p w14:paraId="54FF4FE2" w14:textId="77777777" w:rsidR="00BE1C84" w:rsidRPr="00CB5C37" w:rsidRDefault="00BE1C84" w:rsidP="00CB5C37">
    <w:pPr>
      <w:pStyle w:val="Footer"/>
      <w:tabs>
        <w:tab w:val="clear" w:pos="9638"/>
        <w:tab w:val="right" w:pos="10065"/>
      </w:tabs>
      <w:ind w:left="-284" w:right="-285"/>
      <w:jc w:val="center"/>
      <w:rPr>
        <w:szCs w:val="16"/>
      </w:rPr>
    </w:pPr>
    <w:r w:rsidRPr="008A26FE">
      <w:rPr>
        <w:rFonts w:ascii="Garamond" w:hAnsi="Garamond"/>
        <w:caps/>
        <w:sz w:val="16"/>
        <w:szCs w:val="16"/>
      </w:rPr>
      <w:t>Via</w:t>
    </w:r>
    <w:r>
      <w:rPr>
        <w:rFonts w:ascii="Garamond" w:hAnsi="Garamond"/>
        <w:caps/>
        <w:sz w:val="16"/>
        <w:szCs w:val="16"/>
      </w:rPr>
      <w:t xml:space="preserve"> </w:t>
    </w:r>
    <w:r w:rsidR="005771B8">
      <w:rPr>
        <w:rFonts w:ascii="Garamond" w:hAnsi="Garamond"/>
        <w:caps/>
        <w:sz w:val="16"/>
        <w:szCs w:val="16"/>
      </w:rPr>
      <w:t>MASSARENTI 9, PADIGLIONE 11</w:t>
    </w:r>
    <w:r w:rsidRPr="008A26FE">
      <w:rPr>
        <w:rFonts w:ascii="Garamond" w:hAnsi="Garamond"/>
        <w:caps/>
        <w:sz w:val="16"/>
        <w:szCs w:val="16"/>
      </w:rPr>
      <w:t xml:space="preserve"> </w:t>
    </w:r>
    <w:r w:rsidR="001D5749">
      <w:rPr>
        <w:rFonts w:ascii="Garamond" w:hAnsi="Garamond"/>
        <w:caps/>
        <w:sz w:val="16"/>
        <w:szCs w:val="16"/>
      </w:rPr>
      <w:t xml:space="preserve">- </w:t>
    </w:r>
    <w:r w:rsidR="001D5749" w:rsidRPr="008A26FE">
      <w:rPr>
        <w:rFonts w:ascii="Garamond" w:hAnsi="Garamond"/>
        <w:caps/>
        <w:sz w:val="16"/>
        <w:szCs w:val="16"/>
      </w:rPr>
      <w:t>401</w:t>
    </w:r>
    <w:r w:rsidR="001D5749">
      <w:rPr>
        <w:rFonts w:ascii="Garamond" w:hAnsi="Garamond"/>
        <w:caps/>
        <w:sz w:val="16"/>
        <w:szCs w:val="16"/>
      </w:rPr>
      <w:t xml:space="preserve">38 Bologna - Italia </w:t>
    </w:r>
    <w:r w:rsidR="00C05A72">
      <w:rPr>
        <w:rFonts w:ascii="Garamond" w:hAnsi="Garamond"/>
        <w:caps/>
        <w:sz w:val="16"/>
        <w:szCs w:val="16"/>
      </w:rPr>
      <w:t>–</w:t>
    </w:r>
    <w:r w:rsidRPr="008A26FE">
      <w:rPr>
        <w:rFonts w:ascii="Garamond" w:hAnsi="Garamond"/>
        <w:caps/>
        <w:sz w:val="16"/>
        <w:szCs w:val="16"/>
      </w:rPr>
      <w:t xml:space="preserve"> </w:t>
    </w:r>
    <w:hyperlink r:id="rId1" w:history="1">
      <w:r w:rsidR="00C05A72" w:rsidRPr="0017512C">
        <w:rPr>
          <w:rStyle w:val="Hyperlink"/>
          <w:rFonts w:ascii="Garamond" w:hAnsi="Garamond"/>
          <w:sz w:val="20"/>
          <w:szCs w:val="20"/>
        </w:rPr>
        <w:t>dimec.dipartimento@pec.unibo.it</w:t>
      </w:r>
    </w:hyperlink>
    <w:r w:rsidR="00C05A72" w:rsidRPr="00C05A72">
      <w:rPr>
        <w:rFonts w:ascii="Garamond" w:hAnsi="Garamond"/>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9F6E9" w14:textId="77777777" w:rsidR="00D17E60" w:rsidRDefault="00D17E60">
      <w:r>
        <w:separator/>
      </w:r>
    </w:p>
  </w:footnote>
  <w:footnote w:type="continuationSeparator" w:id="0">
    <w:p w14:paraId="49EF10AF" w14:textId="77777777" w:rsidR="00D17E60" w:rsidRDefault="00D1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407" w14:textId="682A051D" w:rsidR="00BE1C84" w:rsidRDefault="0056632E" w:rsidP="002A0F0A">
    <w:pPr>
      <w:pStyle w:val="Header"/>
      <w:jc w:val="center"/>
    </w:pPr>
    <w:r>
      <w:rPr>
        <w:noProof/>
      </w:rPr>
      <w:drawing>
        <wp:inline distT="0" distB="0" distL="0" distR="0" wp14:anchorId="6C880F6C" wp14:editId="1ED4E38B">
          <wp:extent cx="4057650" cy="152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37A"/>
    <w:multiLevelType w:val="hybridMultilevel"/>
    <w:tmpl w:val="13086D0A"/>
    <w:lvl w:ilvl="0" w:tplc="BE0EA7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47DC"/>
    <w:multiLevelType w:val="singleLevel"/>
    <w:tmpl w:val="EB5228E6"/>
    <w:lvl w:ilvl="0">
      <w:start w:val="1"/>
      <w:numFmt w:val="lowerLetter"/>
      <w:lvlText w:val="%1)"/>
      <w:lvlJc w:val="left"/>
      <w:pPr>
        <w:tabs>
          <w:tab w:val="num" w:pos="360"/>
        </w:tabs>
        <w:ind w:left="360" w:hanging="360"/>
      </w:pPr>
      <w:rPr>
        <w:rFonts w:hint="default"/>
      </w:rPr>
    </w:lvl>
  </w:abstractNum>
  <w:abstractNum w:abstractNumId="2" w15:restartNumberingAfterBreak="0">
    <w:nsid w:val="1ED163CB"/>
    <w:multiLevelType w:val="hybridMultilevel"/>
    <w:tmpl w:val="8416BFD0"/>
    <w:lvl w:ilvl="0" w:tplc="2B3847F2">
      <w:start w:val="1"/>
      <w:numFmt w:val="decimal"/>
      <w:lvlText w:val="%1."/>
      <w:lvlJc w:val="left"/>
      <w:pPr>
        <w:tabs>
          <w:tab w:val="num" w:pos="360"/>
        </w:tabs>
        <w:ind w:left="360" w:hanging="360"/>
      </w:pPr>
      <w:rPr>
        <w:strike w:val="0"/>
        <w:color w:val="auto"/>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2144601A"/>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4" w15:restartNumberingAfterBreak="0">
    <w:nsid w:val="27D8511B"/>
    <w:multiLevelType w:val="hybridMultilevel"/>
    <w:tmpl w:val="50680440"/>
    <w:lvl w:ilvl="0" w:tplc="6E6CB3D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1419B"/>
    <w:multiLevelType w:val="hybridMultilevel"/>
    <w:tmpl w:val="C544608C"/>
    <w:lvl w:ilvl="0" w:tplc="6F906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49CE"/>
    <w:multiLevelType w:val="hybridMultilevel"/>
    <w:tmpl w:val="495A6C50"/>
    <w:lvl w:ilvl="0" w:tplc="349A685A">
      <w:start w:val="1"/>
      <w:numFmt w:val="upperLetter"/>
      <w:lvlText w:val="%1)"/>
      <w:lvlJc w:val="left"/>
      <w:pPr>
        <w:tabs>
          <w:tab w:val="num" w:pos="1440"/>
        </w:tabs>
        <w:ind w:left="1440" w:hanging="360"/>
      </w:pPr>
      <w:rPr>
        <w:rFonts w:hint="default"/>
      </w:rPr>
    </w:lvl>
    <w:lvl w:ilvl="1" w:tplc="1F848D22">
      <w:start w:val="1"/>
      <w:numFmt w:val="bullet"/>
      <w:lvlText w:val="-"/>
      <w:lvlJc w:val="left"/>
      <w:pPr>
        <w:tabs>
          <w:tab w:val="num" w:pos="2160"/>
        </w:tabs>
        <w:ind w:left="2160" w:hanging="360"/>
      </w:pPr>
      <w:rPr>
        <w:rFonts w:ascii="Arial" w:eastAsia="Times New Roman" w:hAnsi="Arial" w:cs="Arial" w:hint="default"/>
      </w:rPr>
    </w:lvl>
    <w:lvl w:ilvl="2" w:tplc="CADA8916">
      <w:start w:val="4"/>
      <w:numFmt w:val="lowerLetter"/>
      <w:lvlText w:val="%3)"/>
      <w:lvlJc w:val="left"/>
      <w:pPr>
        <w:tabs>
          <w:tab w:val="num" w:pos="3060"/>
        </w:tabs>
        <w:ind w:left="3060" w:hanging="360"/>
      </w:pPr>
      <w:rPr>
        <w:rFonts w:hint="default"/>
      </w:r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7" w15:restartNumberingAfterBreak="0">
    <w:nsid w:val="30F85042"/>
    <w:multiLevelType w:val="multilevel"/>
    <w:tmpl w:val="69F2DA3E"/>
    <w:lvl w:ilvl="0">
      <w:start w:val="1"/>
      <w:numFmt w:val="decimal"/>
      <w:lvlText w:val="%1-"/>
      <w:lvlJc w:val="left"/>
      <w:pPr>
        <w:tabs>
          <w:tab w:val="num" w:pos="0"/>
        </w:tabs>
        <w:ind w:left="1440" w:hanging="360"/>
      </w:pPr>
      <w:rPr>
        <w:b w:val="0"/>
        <w:bCs w:val="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32C14CF1"/>
    <w:multiLevelType w:val="hybridMultilevel"/>
    <w:tmpl w:val="0068F30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C6730"/>
    <w:multiLevelType w:val="hybridMultilevel"/>
    <w:tmpl w:val="887EAD4E"/>
    <w:lvl w:ilvl="0" w:tplc="A13CFB7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52BB2058"/>
    <w:multiLevelType w:val="hybridMultilevel"/>
    <w:tmpl w:val="E8F0DA3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55492921"/>
    <w:multiLevelType w:val="hybridMultilevel"/>
    <w:tmpl w:val="354AB89A"/>
    <w:lvl w:ilvl="0" w:tplc="03C84D08">
      <w:start w:val="3"/>
      <w:numFmt w:val="decimal"/>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0F">
      <w:start w:val="1"/>
      <w:numFmt w:val="decimal"/>
      <w:lvlText w:val="%3."/>
      <w:lvlJc w:val="left"/>
      <w:pPr>
        <w:tabs>
          <w:tab w:val="num" w:pos="1980"/>
        </w:tabs>
        <w:ind w:left="1980" w:hanging="36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773A9F"/>
    <w:multiLevelType w:val="hybridMultilevel"/>
    <w:tmpl w:val="CECE3EAC"/>
    <w:lvl w:ilvl="0" w:tplc="228A8898">
      <w:start w:val="2"/>
      <w:numFmt w:val="bullet"/>
      <w:lvlText w:val="-"/>
      <w:lvlJc w:val="left"/>
      <w:pPr>
        <w:tabs>
          <w:tab w:val="num" w:pos="1572"/>
        </w:tabs>
        <w:ind w:left="1572" w:hanging="864"/>
      </w:pPr>
      <w:rPr>
        <w:rFonts w:ascii="Calibri" w:eastAsia="Times New Roman" w:hAnsi="Calibri"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C7F74DA"/>
    <w:multiLevelType w:val="hybridMultilevel"/>
    <w:tmpl w:val="57F488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3841293">
    <w:abstractNumId w:val="12"/>
  </w:num>
  <w:num w:numId="2" w16cid:durableId="954676349">
    <w:abstractNumId w:val="4"/>
  </w:num>
  <w:num w:numId="3" w16cid:durableId="825164585">
    <w:abstractNumId w:val="1"/>
  </w:num>
  <w:num w:numId="4" w16cid:durableId="1281523618">
    <w:abstractNumId w:val="9"/>
  </w:num>
  <w:num w:numId="5" w16cid:durableId="1531257196">
    <w:abstractNumId w:val="2"/>
  </w:num>
  <w:num w:numId="6" w16cid:durableId="214776836">
    <w:abstractNumId w:val="8"/>
  </w:num>
  <w:num w:numId="7" w16cid:durableId="195385989">
    <w:abstractNumId w:val="10"/>
  </w:num>
  <w:num w:numId="8" w16cid:durableId="1009256782">
    <w:abstractNumId w:val="3"/>
  </w:num>
  <w:num w:numId="9" w16cid:durableId="1864856314">
    <w:abstractNumId w:val="14"/>
  </w:num>
  <w:num w:numId="10" w16cid:durableId="1795128106">
    <w:abstractNumId w:val="13"/>
  </w:num>
  <w:num w:numId="11" w16cid:durableId="613749337">
    <w:abstractNumId w:val="11"/>
  </w:num>
  <w:num w:numId="12" w16cid:durableId="580873961">
    <w:abstractNumId w:val="6"/>
  </w:num>
  <w:num w:numId="13" w16cid:durableId="970869112">
    <w:abstractNumId w:val="7"/>
  </w:num>
  <w:num w:numId="14" w16cid:durableId="1929382416">
    <w:abstractNumId w:val="5"/>
  </w:num>
  <w:num w:numId="15" w16cid:durableId="105894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A"/>
    <w:rsid w:val="00000BC0"/>
    <w:rsid w:val="0000119A"/>
    <w:rsid w:val="00002206"/>
    <w:rsid w:val="00003775"/>
    <w:rsid w:val="00004835"/>
    <w:rsid w:val="00004B41"/>
    <w:rsid w:val="00007718"/>
    <w:rsid w:val="0001010E"/>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2630"/>
    <w:rsid w:val="0005379F"/>
    <w:rsid w:val="00054F9D"/>
    <w:rsid w:val="00056F8C"/>
    <w:rsid w:val="0005744F"/>
    <w:rsid w:val="00060F13"/>
    <w:rsid w:val="0006159F"/>
    <w:rsid w:val="000627C5"/>
    <w:rsid w:val="00062CD8"/>
    <w:rsid w:val="000638A4"/>
    <w:rsid w:val="00063CCE"/>
    <w:rsid w:val="0006451B"/>
    <w:rsid w:val="000649E3"/>
    <w:rsid w:val="00065195"/>
    <w:rsid w:val="00065DE4"/>
    <w:rsid w:val="00067DC5"/>
    <w:rsid w:val="00070B79"/>
    <w:rsid w:val="00071338"/>
    <w:rsid w:val="00072AEC"/>
    <w:rsid w:val="00072B7E"/>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DAB"/>
    <w:rsid w:val="00090823"/>
    <w:rsid w:val="0009143D"/>
    <w:rsid w:val="00091ED9"/>
    <w:rsid w:val="00091FF9"/>
    <w:rsid w:val="00092817"/>
    <w:rsid w:val="00092BE0"/>
    <w:rsid w:val="00093F22"/>
    <w:rsid w:val="00093F28"/>
    <w:rsid w:val="00094BAA"/>
    <w:rsid w:val="00094FEE"/>
    <w:rsid w:val="000955ED"/>
    <w:rsid w:val="00095CCB"/>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4A04"/>
    <w:rsid w:val="001250DC"/>
    <w:rsid w:val="00126819"/>
    <w:rsid w:val="00126A5B"/>
    <w:rsid w:val="00130867"/>
    <w:rsid w:val="0013129B"/>
    <w:rsid w:val="00131662"/>
    <w:rsid w:val="00132368"/>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573"/>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5749"/>
    <w:rsid w:val="001D66DD"/>
    <w:rsid w:val="001D6DC9"/>
    <w:rsid w:val="001D714C"/>
    <w:rsid w:val="001E0796"/>
    <w:rsid w:val="001E1BEC"/>
    <w:rsid w:val="001E2BDC"/>
    <w:rsid w:val="001E3271"/>
    <w:rsid w:val="001E3853"/>
    <w:rsid w:val="001E446A"/>
    <w:rsid w:val="001E5DE6"/>
    <w:rsid w:val="001E6ADD"/>
    <w:rsid w:val="001F03AC"/>
    <w:rsid w:val="001F13E2"/>
    <w:rsid w:val="001F14B5"/>
    <w:rsid w:val="001F18E4"/>
    <w:rsid w:val="001F202B"/>
    <w:rsid w:val="001F2664"/>
    <w:rsid w:val="001F2910"/>
    <w:rsid w:val="001F2CCB"/>
    <w:rsid w:val="001F34E0"/>
    <w:rsid w:val="001F3EF5"/>
    <w:rsid w:val="001F4118"/>
    <w:rsid w:val="001F41A0"/>
    <w:rsid w:val="001F47E7"/>
    <w:rsid w:val="001F49E4"/>
    <w:rsid w:val="001F4BC9"/>
    <w:rsid w:val="001F4D71"/>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2917"/>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24A"/>
    <w:rsid w:val="00247295"/>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D76"/>
    <w:rsid w:val="00261546"/>
    <w:rsid w:val="00261956"/>
    <w:rsid w:val="00263B5D"/>
    <w:rsid w:val="002641AC"/>
    <w:rsid w:val="00264F5E"/>
    <w:rsid w:val="00265254"/>
    <w:rsid w:val="00265F28"/>
    <w:rsid w:val="00266165"/>
    <w:rsid w:val="0026653B"/>
    <w:rsid w:val="002665EE"/>
    <w:rsid w:val="00266853"/>
    <w:rsid w:val="002719FC"/>
    <w:rsid w:val="00271FC8"/>
    <w:rsid w:val="0027213F"/>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228A"/>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A7F88"/>
    <w:rsid w:val="002B0DB8"/>
    <w:rsid w:val="002B1CB9"/>
    <w:rsid w:val="002B2784"/>
    <w:rsid w:val="002B2E7B"/>
    <w:rsid w:val="002B3409"/>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6FA4"/>
    <w:rsid w:val="002C70B6"/>
    <w:rsid w:val="002C7805"/>
    <w:rsid w:val="002D02D6"/>
    <w:rsid w:val="002D07E0"/>
    <w:rsid w:val="002D0E76"/>
    <w:rsid w:val="002D12D8"/>
    <w:rsid w:val="002D31EC"/>
    <w:rsid w:val="002D3220"/>
    <w:rsid w:val="002D33FD"/>
    <w:rsid w:val="002D4540"/>
    <w:rsid w:val="002D4784"/>
    <w:rsid w:val="002D50E2"/>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153"/>
    <w:rsid w:val="002F3E6D"/>
    <w:rsid w:val="002F5C4C"/>
    <w:rsid w:val="002F6720"/>
    <w:rsid w:val="002F68AB"/>
    <w:rsid w:val="002F6DD5"/>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801"/>
    <w:rsid w:val="00320F2A"/>
    <w:rsid w:val="00322A99"/>
    <w:rsid w:val="00322CBC"/>
    <w:rsid w:val="003230DE"/>
    <w:rsid w:val="00323A31"/>
    <w:rsid w:val="00323E7A"/>
    <w:rsid w:val="00324EF8"/>
    <w:rsid w:val="00324F01"/>
    <w:rsid w:val="0032537C"/>
    <w:rsid w:val="00325422"/>
    <w:rsid w:val="00325C9F"/>
    <w:rsid w:val="00326020"/>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1677"/>
    <w:rsid w:val="00342D06"/>
    <w:rsid w:val="00343A82"/>
    <w:rsid w:val="003444BB"/>
    <w:rsid w:val="00344619"/>
    <w:rsid w:val="00344AD0"/>
    <w:rsid w:val="00345C82"/>
    <w:rsid w:val="00345DF7"/>
    <w:rsid w:val="00345E12"/>
    <w:rsid w:val="0034693D"/>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0F41"/>
    <w:rsid w:val="003C17E3"/>
    <w:rsid w:val="003C1BF4"/>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2B"/>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3F7F94"/>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579B0"/>
    <w:rsid w:val="00460601"/>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52F"/>
    <w:rsid w:val="00484ED9"/>
    <w:rsid w:val="00484FF2"/>
    <w:rsid w:val="004868FB"/>
    <w:rsid w:val="00486C74"/>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5CCA"/>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C23"/>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48E"/>
    <w:rsid w:val="004E568D"/>
    <w:rsid w:val="004E5F02"/>
    <w:rsid w:val="004E7E7B"/>
    <w:rsid w:val="004F0180"/>
    <w:rsid w:val="004F0286"/>
    <w:rsid w:val="004F2E86"/>
    <w:rsid w:val="004F3C6E"/>
    <w:rsid w:val="004F3D1E"/>
    <w:rsid w:val="004F77BA"/>
    <w:rsid w:val="00500158"/>
    <w:rsid w:val="00500928"/>
    <w:rsid w:val="00500E78"/>
    <w:rsid w:val="0050255B"/>
    <w:rsid w:val="00502A48"/>
    <w:rsid w:val="00503A4B"/>
    <w:rsid w:val="00505438"/>
    <w:rsid w:val="005054E3"/>
    <w:rsid w:val="005061F9"/>
    <w:rsid w:val="0050678C"/>
    <w:rsid w:val="00506CF8"/>
    <w:rsid w:val="00507027"/>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43C"/>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35B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32E"/>
    <w:rsid w:val="0056679E"/>
    <w:rsid w:val="00566949"/>
    <w:rsid w:val="00566C09"/>
    <w:rsid w:val="0056718F"/>
    <w:rsid w:val="00567AC9"/>
    <w:rsid w:val="00567D89"/>
    <w:rsid w:val="00567F9A"/>
    <w:rsid w:val="005707FE"/>
    <w:rsid w:val="0057107E"/>
    <w:rsid w:val="00571EAF"/>
    <w:rsid w:val="00572B0B"/>
    <w:rsid w:val="0057334D"/>
    <w:rsid w:val="00573613"/>
    <w:rsid w:val="00575102"/>
    <w:rsid w:val="005763D5"/>
    <w:rsid w:val="00576ACE"/>
    <w:rsid w:val="005770A2"/>
    <w:rsid w:val="005771B8"/>
    <w:rsid w:val="005773E5"/>
    <w:rsid w:val="005775D8"/>
    <w:rsid w:val="005817C4"/>
    <w:rsid w:val="00581C2B"/>
    <w:rsid w:val="00582422"/>
    <w:rsid w:val="00582B26"/>
    <w:rsid w:val="00582E16"/>
    <w:rsid w:val="0058343C"/>
    <w:rsid w:val="005837B9"/>
    <w:rsid w:val="0058463B"/>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0880"/>
    <w:rsid w:val="005C15A3"/>
    <w:rsid w:val="005C230E"/>
    <w:rsid w:val="005C275A"/>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C7E1A"/>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23F1"/>
    <w:rsid w:val="005F2934"/>
    <w:rsid w:val="005F3899"/>
    <w:rsid w:val="005F3F7A"/>
    <w:rsid w:val="005F4104"/>
    <w:rsid w:val="005F54F9"/>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691"/>
    <w:rsid w:val="00621EE9"/>
    <w:rsid w:val="00622814"/>
    <w:rsid w:val="00624277"/>
    <w:rsid w:val="00624BE7"/>
    <w:rsid w:val="00626B73"/>
    <w:rsid w:val="00626BDF"/>
    <w:rsid w:val="00626DA1"/>
    <w:rsid w:val="0062701B"/>
    <w:rsid w:val="00627682"/>
    <w:rsid w:val="0062772E"/>
    <w:rsid w:val="00630CE5"/>
    <w:rsid w:val="00631A71"/>
    <w:rsid w:val="00633B3E"/>
    <w:rsid w:val="006341D8"/>
    <w:rsid w:val="00634541"/>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97B94"/>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3AC"/>
    <w:rsid w:val="006B0841"/>
    <w:rsid w:val="006B0A14"/>
    <w:rsid w:val="006B16A2"/>
    <w:rsid w:val="006B2137"/>
    <w:rsid w:val="006B3D30"/>
    <w:rsid w:val="006B4797"/>
    <w:rsid w:val="006B49E4"/>
    <w:rsid w:val="006B522F"/>
    <w:rsid w:val="006B5597"/>
    <w:rsid w:val="006B561C"/>
    <w:rsid w:val="006B5E7F"/>
    <w:rsid w:val="006B6440"/>
    <w:rsid w:val="006C0558"/>
    <w:rsid w:val="006C168F"/>
    <w:rsid w:val="006C1D1B"/>
    <w:rsid w:val="006C281C"/>
    <w:rsid w:val="006C2F44"/>
    <w:rsid w:val="006C3B78"/>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432B"/>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57C2"/>
    <w:rsid w:val="0072607C"/>
    <w:rsid w:val="00726279"/>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708"/>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4719"/>
    <w:rsid w:val="007A5BAE"/>
    <w:rsid w:val="007A6197"/>
    <w:rsid w:val="007A6B9B"/>
    <w:rsid w:val="007A7E92"/>
    <w:rsid w:val="007A7FC1"/>
    <w:rsid w:val="007B00E3"/>
    <w:rsid w:val="007B0768"/>
    <w:rsid w:val="007B0D71"/>
    <w:rsid w:val="007B18E4"/>
    <w:rsid w:val="007B1C93"/>
    <w:rsid w:val="007B26AD"/>
    <w:rsid w:val="007B2702"/>
    <w:rsid w:val="007B2B39"/>
    <w:rsid w:val="007B2E40"/>
    <w:rsid w:val="007B30C9"/>
    <w:rsid w:val="007B3900"/>
    <w:rsid w:val="007B5E99"/>
    <w:rsid w:val="007B6275"/>
    <w:rsid w:val="007B69B7"/>
    <w:rsid w:val="007B6CC5"/>
    <w:rsid w:val="007C016D"/>
    <w:rsid w:val="007C0E7B"/>
    <w:rsid w:val="007C26B9"/>
    <w:rsid w:val="007C2F59"/>
    <w:rsid w:val="007C30A4"/>
    <w:rsid w:val="007C31DF"/>
    <w:rsid w:val="007C33A9"/>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3D0"/>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3AE9"/>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549"/>
    <w:rsid w:val="00826EE9"/>
    <w:rsid w:val="0082780F"/>
    <w:rsid w:val="00830E77"/>
    <w:rsid w:val="00831777"/>
    <w:rsid w:val="008327D4"/>
    <w:rsid w:val="00832C7B"/>
    <w:rsid w:val="00832D24"/>
    <w:rsid w:val="008335CA"/>
    <w:rsid w:val="0083548E"/>
    <w:rsid w:val="0083559D"/>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28C"/>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98"/>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795B"/>
    <w:rsid w:val="008F7FAD"/>
    <w:rsid w:val="00900339"/>
    <w:rsid w:val="00900959"/>
    <w:rsid w:val="00901323"/>
    <w:rsid w:val="009017EC"/>
    <w:rsid w:val="00901D60"/>
    <w:rsid w:val="00901E79"/>
    <w:rsid w:val="0090260F"/>
    <w:rsid w:val="00902B83"/>
    <w:rsid w:val="00903454"/>
    <w:rsid w:val="00903533"/>
    <w:rsid w:val="00903646"/>
    <w:rsid w:val="00904B23"/>
    <w:rsid w:val="00904E11"/>
    <w:rsid w:val="009052FC"/>
    <w:rsid w:val="00905780"/>
    <w:rsid w:val="0090631D"/>
    <w:rsid w:val="00906B90"/>
    <w:rsid w:val="00907380"/>
    <w:rsid w:val="009074A3"/>
    <w:rsid w:val="00907E8F"/>
    <w:rsid w:val="00910F01"/>
    <w:rsid w:val="009112D7"/>
    <w:rsid w:val="009119B9"/>
    <w:rsid w:val="009121EC"/>
    <w:rsid w:val="00912A88"/>
    <w:rsid w:val="0091390A"/>
    <w:rsid w:val="00913D16"/>
    <w:rsid w:val="0091468D"/>
    <w:rsid w:val="00915850"/>
    <w:rsid w:val="00915A33"/>
    <w:rsid w:val="00915E41"/>
    <w:rsid w:val="009176E8"/>
    <w:rsid w:val="00920013"/>
    <w:rsid w:val="00920E32"/>
    <w:rsid w:val="009215E0"/>
    <w:rsid w:val="009216BC"/>
    <w:rsid w:val="00921E55"/>
    <w:rsid w:val="00921E69"/>
    <w:rsid w:val="009229F2"/>
    <w:rsid w:val="009232E5"/>
    <w:rsid w:val="00923DFD"/>
    <w:rsid w:val="00927D53"/>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0C28"/>
    <w:rsid w:val="00941AAB"/>
    <w:rsid w:val="00941AB8"/>
    <w:rsid w:val="00942A92"/>
    <w:rsid w:val="009433E4"/>
    <w:rsid w:val="0094349B"/>
    <w:rsid w:val="00944C33"/>
    <w:rsid w:val="00945AFC"/>
    <w:rsid w:val="0094618D"/>
    <w:rsid w:val="0094649C"/>
    <w:rsid w:val="00946A45"/>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611"/>
    <w:rsid w:val="00966D4A"/>
    <w:rsid w:val="0097002B"/>
    <w:rsid w:val="009703CA"/>
    <w:rsid w:val="00971C1C"/>
    <w:rsid w:val="00971E87"/>
    <w:rsid w:val="00973D79"/>
    <w:rsid w:val="0097487D"/>
    <w:rsid w:val="009752AC"/>
    <w:rsid w:val="009767D8"/>
    <w:rsid w:val="00976F52"/>
    <w:rsid w:val="0098040D"/>
    <w:rsid w:val="00981334"/>
    <w:rsid w:val="0098227E"/>
    <w:rsid w:val="009828A9"/>
    <w:rsid w:val="00982A1D"/>
    <w:rsid w:val="00982B9F"/>
    <w:rsid w:val="00984211"/>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48A1"/>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A66"/>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55B"/>
    <w:rsid w:val="009D766F"/>
    <w:rsid w:val="009E139D"/>
    <w:rsid w:val="009E1474"/>
    <w:rsid w:val="009E1D39"/>
    <w:rsid w:val="009E2574"/>
    <w:rsid w:val="009E2FBE"/>
    <w:rsid w:val="009E3773"/>
    <w:rsid w:val="009E377D"/>
    <w:rsid w:val="009E3899"/>
    <w:rsid w:val="009E61AB"/>
    <w:rsid w:val="009E6219"/>
    <w:rsid w:val="009E6222"/>
    <w:rsid w:val="009E6E25"/>
    <w:rsid w:val="009E7041"/>
    <w:rsid w:val="009E7057"/>
    <w:rsid w:val="009E7C09"/>
    <w:rsid w:val="009E7FF0"/>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277"/>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31C4"/>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1D76"/>
    <w:rsid w:val="00A42604"/>
    <w:rsid w:val="00A4287D"/>
    <w:rsid w:val="00A42BCA"/>
    <w:rsid w:val="00A43848"/>
    <w:rsid w:val="00A438BB"/>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2C6"/>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5AC"/>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57B7"/>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44C"/>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4628"/>
    <w:rsid w:val="00B151EE"/>
    <w:rsid w:val="00B15FB2"/>
    <w:rsid w:val="00B16B2D"/>
    <w:rsid w:val="00B1726B"/>
    <w:rsid w:val="00B17715"/>
    <w:rsid w:val="00B17E57"/>
    <w:rsid w:val="00B21812"/>
    <w:rsid w:val="00B23176"/>
    <w:rsid w:val="00B23D88"/>
    <w:rsid w:val="00B245BE"/>
    <w:rsid w:val="00B2488B"/>
    <w:rsid w:val="00B24C81"/>
    <w:rsid w:val="00B24F18"/>
    <w:rsid w:val="00B2687A"/>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144A"/>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063"/>
    <w:rsid w:val="00B93152"/>
    <w:rsid w:val="00B9412F"/>
    <w:rsid w:val="00B945DF"/>
    <w:rsid w:val="00B94BC6"/>
    <w:rsid w:val="00B94EC1"/>
    <w:rsid w:val="00B957DD"/>
    <w:rsid w:val="00B9632C"/>
    <w:rsid w:val="00B97799"/>
    <w:rsid w:val="00B97926"/>
    <w:rsid w:val="00BA0956"/>
    <w:rsid w:val="00BA1969"/>
    <w:rsid w:val="00BA24FF"/>
    <w:rsid w:val="00BA2C6F"/>
    <w:rsid w:val="00BA2FA3"/>
    <w:rsid w:val="00BA3CD0"/>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29B"/>
    <w:rsid w:val="00BC0494"/>
    <w:rsid w:val="00BC0565"/>
    <w:rsid w:val="00BC0B60"/>
    <w:rsid w:val="00BC0E72"/>
    <w:rsid w:val="00BC14AE"/>
    <w:rsid w:val="00BC19DE"/>
    <w:rsid w:val="00BC2E7F"/>
    <w:rsid w:val="00BC405F"/>
    <w:rsid w:val="00BC53C2"/>
    <w:rsid w:val="00BC5B25"/>
    <w:rsid w:val="00BC5DDD"/>
    <w:rsid w:val="00BC6618"/>
    <w:rsid w:val="00BC6F58"/>
    <w:rsid w:val="00BD1AF0"/>
    <w:rsid w:val="00BD1C72"/>
    <w:rsid w:val="00BD2651"/>
    <w:rsid w:val="00BD2C87"/>
    <w:rsid w:val="00BD319B"/>
    <w:rsid w:val="00BD5AFD"/>
    <w:rsid w:val="00BD65C0"/>
    <w:rsid w:val="00BD6B35"/>
    <w:rsid w:val="00BD7031"/>
    <w:rsid w:val="00BD7691"/>
    <w:rsid w:val="00BE04A1"/>
    <w:rsid w:val="00BE1C84"/>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A72"/>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0A8A"/>
    <w:rsid w:val="00C811C5"/>
    <w:rsid w:val="00C8184D"/>
    <w:rsid w:val="00C818C4"/>
    <w:rsid w:val="00C81917"/>
    <w:rsid w:val="00C81AEE"/>
    <w:rsid w:val="00C83999"/>
    <w:rsid w:val="00C83B40"/>
    <w:rsid w:val="00C85038"/>
    <w:rsid w:val="00C85994"/>
    <w:rsid w:val="00C86674"/>
    <w:rsid w:val="00C867D4"/>
    <w:rsid w:val="00C86964"/>
    <w:rsid w:val="00C87F65"/>
    <w:rsid w:val="00C9045B"/>
    <w:rsid w:val="00C90625"/>
    <w:rsid w:val="00C90C09"/>
    <w:rsid w:val="00C90E32"/>
    <w:rsid w:val="00C912D5"/>
    <w:rsid w:val="00C91506"/>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62A"/>
    <w:rsid w:val="00CC2AF4"/>
    <w:rsid w:val="00CC347B"/>
    <w:rsid w:val="00CC4497"/>
    <w:rsid w:val="00CC4CBE"/>
    <w:rsid w:val="00CC600F"/>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87E"/>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667B"/>
    <w:rsid w:val="00D17218"/>
    <w:rsid w:val="00D17438"/>
    <w:rsid w:val="00D17E60"/>
    <w:rsid w:val="00D20598"/>
    <w:rsid w:val="00D20662"/>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054"/>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0C0A"/>
    <w:rsid w:val="00D91AA4"/>
    <w:rsid w:val="00D920A5"/>
    <w:rsid w:val="00D9294F"/>
    <w:rsid w:val="00D92E43"/>
    <w:rsid w:val="00D93BFB"/>
    <w:rsid w:val="00D94C7D"/>
    <w:rsid w:val="00D9508A"/>
    <w:rsid w:val="00D95A16"/>
    <w:rsid w:val="00D97599"/>
    <w:rsid w:val="00DA1CD0"/>
    <w:rsid w:val="00DA4056"/>
    <w:rsid w:val="00DA4482"/>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A64"/>
    <w:rsid w:val="00DC5B31"/>
    <w:rsid w:val="00DC6959"/>
    <w:rsid w:val="00DC6F13"/>
    <w:rsid w:val="00DD0CBD"/>
    <w:rsid w:val="00DD1059"/>
    <w:rsid w:val="00DD1095"/>
    <w:rsid w:val="00DD1290"/>
    <w:rsid w:val="00DD1315"/>
    <w:rsid w:val="00DD1471"/>
    <w:rsid w:val="00DD1EE9"/>
    <w:rsid w:val="00DD21E7"/>
    <w:rsid w:val="00DD241E"/>
    <w:rsid w:val="00DD247E"/>
    <w:rsid w:val="00DD2708"/>
    <w:rsid w:val="00DD390D"/>
    <w:rsid w:val="00DD43B1"/>
    <w:rsid w:val="00DD59A7"/>
    <w:rsid w:val="00DD5C57"/>
    <w:rsid w:val="00DD60A1"/>
    <w:rsid w:val="00DD6277"/>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67F"/>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100"/>
    <w:rsid w:val="00E2327E"/>
    <w:rsid w:val="00E23494"/>
    <w:rsid w:val="00E2362C"/>
    <w:rsid w:val="00E2375D"/>
    <w:rsid w:val="00E23836"/>
    <w:rsid w:val="00E24030"/>
    <w:rsid w:val="00E24F0A"/>
    <w:rsid w:val="00E25879"/>
    <w:rsid w:val="00E26CAD"/>
    <w:rsid w:val="00E27E1C"/>
    <w:rsid w:val="00E302EA"/>
    <w:rsid w:val="00E3080D"/>
    <w:rsid w:val="00E308CB"/>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3B8"/>
    <w:rsid w:val="00E6107E"/>
    <w:rsid w:val="00E6228B"/>
    <w:rsid w:val="00E624A0"/>
    <w:rsid w:val="00E648A6"/>
    <w:rsid w:val="00E64A23"/>
    <w:rsid w:val="00E64A60"/>
    <w:rsid w:val="00E64B18"/>
    <w:rsid w:val="00E65989"/>
    <w:rsid w:val="00E65DF5"/>
    <w:rsid w:val="00E66A43"/>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86FA3"/>
    <w:rsid w:val="00E9183B"/>
    <w:rsid w:val="00E91E14"/>
    <w:rsid w:val="00E91F5B"/>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1958"/>
    <w:rsid w:val="00F1249D"/>
    <w:rsid w:val="00F130F2"/>
    <w:rsid w:val="00F1345D"/>
    <w:rsid w:val="00F135A9"/>
    <w:rsid w:val="00F1388B"/>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5E29"/>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66F4"/>
    <w:rsid w:val="00F672F6"/>
    <w:rsid w:val="00F677FA"/>
    <w:rsid w:val="00F6783E"/>
    <w:rsid w:val="00F6786D"/>
    <w:rsid w:val="00F67913"/>
    <w:rsid w:val="00F67A6E"/>
    <w:rsid w:val="00F7034B"/>
    <w:rsid w:val="00F70454"/>
    <w:rsid w:val="00F71675"/>
    <w:rsid w:val="00F71944"/>
    <w:rsid w:val="00F71A44"/>
    <w:rsid w:val="00F727F7"/>
    <w:rsid w:val="00F7391F"/>
    <w:rsid w:val="00F74A39"/>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C80"/>
    <w:rsid w:val="00F944F1"/>
    <w:rsid w:val="00F94EF3"/>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E596A"/>
    <w:rsid w:val="00FE5A56"/>
    <w:rsid w:val="00FE7A88"/>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F6AFB"/>
  <w15:chartTrackingRefBased/>
  <w15:docId w15:val="{174F794B-8F89-40BD-AF86-8CD4EE39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0F0A"/>
    <w:pPr>
      <w:tabs>
        <w:tab w:val="center" w:pos="4819"/>
        <w:tab w:val="right" w:pos="9638"/>
      </w:tabs>
    </w:pPr>
  </w:style>
  <w:style w:type="paragraph" w:styleId="Footer">
    <w:name w:val="footer"/>
    <w:basedOn w:val="Normal"/>
    <w:rsid w:val="002A0F0A"/>
    <w:pPr>
      <w:tabs>
        <w:tab w:val="center" w:pos="4819"/>
        <w:tab w:val="right" w:pos="9638"/>
      </w:tabs>
    </w:pPr>
  </w:style>
  <w:style w:type="paragraph" w:styleId="PlainText">
    <w:name w:val="Plain Text"/>
    <w:basedOn w:val="Normal"/>
    <w:rsid w:val="002A0F0A"/>
    <w:rPr>
      <w:rFonts w:ascii="Courier New" w:hAnsi="Courier New" w:cs="Courier New"/>
      <w:sz w:val="20"/>
      <w:szCs w:val="20"/>
    </w:rPr>
  </w:style>
  <w:style w:type="character" w:styleId="Strong">
    <w:name w:val="Strong"/>
    <w:qFormat/>
    <w:rsid w:val="003E0D7C"/>
    <w:rPr>
      <w:b/>
      <w:bCs/>
    </w:rPr>
  </w:style>
  <w:style w:type="paragraph" w:styleId="BalloonText">
    <w:name w:val="Balloon Text"/>
    <w:basedOn w:val="Normal"/>
    <w:semiHidden/>
    <w:rsid w:val="00170400"/>
    <w:rPr>
      <w:rFonts w:ascii="Tahoma" w:hAnsi="Tahoma" w:cs="Tahoma"/>
      <w:sz w:val="16"/>
      <w:szCs w:val="16"/>
    </w:rPr>
  </w:style>
  <w:style w:type="character" w:styleId="Hyperlink">
    <w:name w:val="Hyperlink"/>
    <w:rsid w:val="00C05A72"/>
    <w:rPr>
      <w:color w:val="0000FF"/>
      <w:u w:val="single"/>
    </w:rPr>
  </w:style>
  <w:style w:type="paragraph" w:customStyle="1" w:styleId="testoxRiferimento">
    <w:name w:val="testo (x Riferimento)"/>
    <w:basedOn w:val="Normal"/>
    <w:rsid w:val="00B14628"/>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paragraph" w:customStyle="1" w:styleId="IN">
    <w:name w:val="IN"/>
    <w:rsid w:val="00B14628"/>
    <w:pPr>
      <w:spacing w:line="482" w:lineRule="exact"/>
      <w:jc w:val="both"/>
    </w:pPr>
    <w:rPr>
      <w:rFonts w:ascii="Courier" w:hAnsi="Courier"/>
      <w:sz w:val="24"/>
    </w:rPr>
  </w:style>
  <w:style w:type="paragraph" w:customStyle="1" w:styleId="a">
    <w:basedOn w:val="Normal"/>
    <w:next w:val="BodyText"/>
    <w:rsid w:val="00D0087E"/>
    <w:rPr>
      <w:szCs w:val="20"/>
    </w:rPr>
  </w:style>
  <w:style w:type="paragraph" w:styleId="BodyText">
    <w:name w:val="Body Text"/>
    <w:basedOn w:val="Normal"/>
    <w:link w:val="BodyTextChar"/>
    <w:rsid w:val="00D0087E"/>
    <w:pPr>
      <w:spacing w:after="120"/>
    </w:pPr>
  </w:style>
  <w:style w:type="character" w:customStyle="1" w:styleId="BodyTextChar">
    <w:name w:val="Body Text Char"/>
    <w:link w:val="BodyText"/>
    <w:rsid w:val="00D0087E"/>
    <w:rPr>
      <w:sz w:val="24"/>
      <w:szCs w:val="24"/>
    </w:rPr>
  </w:style>
  <w:style w:type="paragraph" w:styleId="NoSpacing">
    <w:name w:val="No Spacing"/>
    <w:uiPriority w:val="1"/>
    <w:qFormat/>
    <w:rsid w:val="002B3409"/>
    <w:rPr>
      <w:rFonts w:ascii="Calibri" w:eastAsia="Calibri" w:hAnsi="Calibri"/>
      <w:sz w:val="22"/>
      <w:szCs w:val="22"/>
      <w:lang w:eastAsia="en-US"/>
    </w:rPr>
  </w:style>
  <w:style w:type="character" w:styleId="Emphasis">
    <w:name w:val="Emphasis"/>
    <w:qFormat/>
    <w:rsid w:val="008F7FAD"/>
    <w:rPr>
      <w:i/>
      <w:iCs/>
    </w:rPr>
  </w:style>
  <w:style w:type="paragraph" w:styleId="NormalWeb">
    <w:name w:val="Normal (Web)"/>
    <w:basedOn w:val="Normal"/>
    <w:uiPriority w:val="99"/>
    <w:unhideWhenUsed/>
    <w:rsid w:val="008F7FAD"/>
    <w:pPr>
      <w:spacing w:before="100" w:beforeAutospacing="1" w:after="100" w:afterAutospacing="1"/>
    </w:pPr>
  </w:style>
  <w:style w:type="paragraph" w:styleId="ListParagraph">
    <w:name w:val="List Paragraph"/>
    <w:basedOn w:val="Normal"/>
    <w:uiPriority w:val="34"/>
    <w:qFormat/>
    <w:rsid w:val="008F7FAD"/>
    <w:pPr>
      <w:ind w:left="720"/>
      <w:contextualSpacing/>
    </w:pPr>
  </w:style>
  <w:style w:type="paragraph" w:styleId="FootnoteText">
    <w:name w:val="footnote text"/>
    <w:basedOn w:val="Normal"/>
    <w:link w:val="FootnoteTextChar"/>
    <w:rsid w:val="008F7FAD"/>
    <w:rPr>
      <w:sz w:val="20"/>
      <w:szCs w:val="20"/>
    </w:rPr>
  </w:style>
  <w:style w:type="character" w:customStyle="1" w:styleId="FootnoteTextChar">
    <w:name w:val="Footnote Text Char"/>
    <w:basedOn w:val="DefaultParagraphFont"/>
    <w:link w:val="FootnoteText"/>
    <w:rsid w:val="008F7FAD"/>
  </w:style>
  <w:style w:type="character" w:styleId="FootnoteReference">
    <w:name w:val="footnote reference"/>
    <w:rsid w:val="008F7FAD"/>
    <w:rPr>
      <w:vertAlign w:val="superscript"/>
    </w:rPr>
  </w:style>
  <w:style w:type="character" w:styleId="CommentReference">
    <w:name w:val="annotation reference"/>
    <w:rsid w:val="00500928"/>
    <w:rPr>
      <w:sz w:val="16"/>
      <w:szCs w:val="16"/>
    </w:rPr>
  </w:style>
  <w:style w:type="paragraph" w:styleId="CommentText">
    <w:name w:val="annotation text"/>
    <w:basedOn w:val="Normal"/>
    <w:link w:val="CommentTextChar"/>
    <w:rsid w:val="00500928"/>
    <w:rPr>
      <w:sz w:val="20"/>
      <w:szCs w:val="20"/>
    </w:rPr>
  </w:style>
  <w:style w:type="character" w:customStyle="1" w:styleId="CommentTextChar">
    <w:name w:val="Comment Text Char"/>
    <w:basedOn w:val="DefaultParagraphFont"/>
    <w:link w:val="CommentText"/>
    <w:rsid w:val="00500928"/>
  </w:style>
  <w:style w:type="paragraph" w:styleId="CommentSubject">
    <w:name w:val="annotation subject"/>
    <w:basedOn w:val="CommentText"/>
    <w:next w:val="CommentText"/>
    <w:link w:val="CommentSubjectChar"/>
    <w:rsid w:val="00500928"/>
    <w:rPr>
      <w:b/>
      <w:bCs/>
    </w:rPr>
  </w:style>
  <w:style w:type="character" w:customStyle="1" w:styleId="CommentSubjectChar">
    <w:name w:val="Comment Subject Char"/>
    <w:link w:val="CommentSubject"/>
    <w:rsid w:val="00500928"/>
    <w:rPr>
      <w:b/>
      <w:bCs/>
    </w:rPr>
  </w:style>
  <w:style w:type="character" w:styleId="UnresolvedMention">
    <w:name w:val="Unresolved Mention"/>
    <w:uiPriority w:val="99"/>
    <w:semiHidden/>
    <w:unhideWhenUsed/>
    <w:rsid w:val="00E308CB"/>
    <w:rPr>
      <w:color w:val="605E5C"/>
      <w:shd w:val="clear" w:color="auto" w:fill="E1DFDD"/>
    </w:rPr>
  </w:style>
  <w:style w:type="table" w:styleId="TableGrid">
    <w:name w:val="Table Grid"/>
    <w:basedOn w:val="TableNormal"/>
    <w:rsid w:val="00A23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mec.dipartimento@pec.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2331</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ARAG</vt:lpstr>
      <vt:lpstr>ARAG</vt:lpstr>
    </vt:vector>
  </TitlesOfParts>
  <Company>Università di Bologna</Company>
  <LinksUpToDate>false</LinksUpToDate>
  <CharactersWithSpaces>15591</CharactersWithSpaces>
  <SharedDoc>false</SharedDoc>
  <HLinks>
    <vt:vector size="12" baseType="variant">
      <vt:variant>
        <vt:i4>7929880</vt:i4>
      </vt:variant>
      <vt:variant>
        <vt:i4>0</vt:i4>
      </vt:variant>
      <vt:variant>
        <vt:i4>0</vt:i4>
      </vt:variant>
      <vt:variant>
        <vt:i4>5</vt:i4>
      </vt:variant>
      <vt:variant>
        <vt:lpwstr>https://www.aricweb.unibo.it/AssegniRicerca_Richieste/index.aspx</vt:lpwstr>
      </vt:variant>
      <vt:variant>
        <vt:lpwstr/>
      </vt:variant>
      <vt:variant>
        <vt:i4>4915313</vt:i4>
      </vt:variant>
      <vt:variant>
        <vt:i4>0</vt:i4>
      </vt:variant>
      <vt:variant>
        <vt:i4>0</vt:i4>
      </vt:variant>
      <vt:variant>
        <vt:i4>5</vt:i4>
      </vt:variant>
      <vt:variant>
        <vt:lpwstr>mailto:dimec.dipartimento@pec.unibo.it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ARAG</dc:title>
  <dc:subject/>
  <dc:creator>Administrator</dc:creator>
  <cp:keywords/>
  <cp:lastModifiedBy>Paolo Boffetta</cp:lastModifiedBy>
  <cp:revision>2</cp:revision>
  <cp:lastPrinted>2017-02-03T09:22:00Z</cp:lastPrinted>
  <dcterms:created xsi:type="dcterms:W3CDTF">2022-10-13T11:01:00Z</dcterms:created>
  <dcterms:modified xsi:type="dcterms:W3CDTF">2022-10-13T11:01:00Z</dcterms:modified>
</cp:coreProperties>
</file>